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  <Override PartName="/word/media/rId130.png" ContentType="image/png"/>
  <Override PartName="/word/media/rId25.png" ContentType="image/png"/>
  <Override PartName="/word/media/rId37.png" ContentType="image/png"/>
  <Override PartName="/word/media/rId53.png" ContentType="image/png"/>
  <Override PartName="/word/media/rId65.png" ContentType="image/png"/>
  <Override PartName="/word/media/rId72.png" ContentType="image/png"/>
  <Override PartName="/word/media/rId95.png" ContentType="image/png"/>
  <Override PartName="/word/media/rId102.png" ContentType="image/png"/>
  <Override PartName="/word/media/rId1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Explicando a Reforma Tributária</w:t>
      </w:r>
    </w:p>
    <w:p>
      <w:pPr>
        <w:pStyle w:val="Subtitle"/>
      </w:pPr>
      <w:r>
        <w:t xml:space="preserve">Manual didático sobre a nova tributação do consumo — EC 132/2023, LC 214/2025 e LC 227/2026</w:t>
      </w:r>
    </w:p>
    <w:p>
      <w:pPr>
        <w:pStyle w:val="Author"/>
      </w:pPr>
      <w:r>
        <w:t xml:space="preserve">Érico Germano Hack</w:t>
      </w:r>
    </w:p>
    <w:p>
      <w:pPr>
        <w:pStyle w:val="Date"/>
      </w:pPr>
      <w:r>
        <w:t xml:space="preserve">2026-10-08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Índice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9" w:name="apresentação"/>
    <w:p>
      <w:pPr>
        <w:pStyle w:val="Heading1"/>
      </w:pPr>
      <w:r>
        <w:t xml:space="preserve">Apresentação</w:t>
      </w:r>
    </w:p>
    <w:p>
      <w:pPr>
        <w:pStyle w:val="FirstParagraph"/>
      </w:pPr>
      <w:r>
        <w:t xml:space="preserve">Este manual organiza em texto didático o conteúdo de um curso introdutório sobre a reforma tributária do consumo, voltado a servidores públicos sem formação tributária e ministrado em outubro de 2026.</w:t>
      </w:r>
    </w:p>
    <w:p>
      <w:pPr>
        <w:pStyle w:val="BodyText"/>
      </w:pPr>
      <w:r>
        <w:t xml:space="preserve">O objetivo é responder, para quem não tem formação tributária, a três perguntas: como funciona o sistema atual de tributação do consumo, por que ele precisa ser substituído e como opera o modelo que o substitui.</w:t>
      </w:r>
    </w:p>
    <w:p>
      <w:pPr>
        <w:pStyle w:val="BodyText"/>
      </w:pPr>
      <w:r>
        <w:rPr>
          <w:b/>
          <w:bCs/>
        </w:rPr>
        <w:t xml:space="preserve">Data de referência.</w:t>
      </w:r>
      <w:r>
        <w:t xml:space="preserve"> </w:t>
      </w:r>
      <w:r>
        <w:t xml:space="preserve">O conteúdo reflete a legislação e o estágio de implantação conhecidos em outubro de 2026. A reforma está em construção: pontos que dependem de regulamentação, de sistema ou de decisão política são assinalados como questões em aberto.</w:t>
      </w:r>
    </w:p>
    <w:p>
      <w:pPr>
        <w:pStyle w:val="BodyText"/>
      </w:pPr>
      <w:r>
        <w:rPr>
          <w:b/>
          <w:bCs/>
        </w:rPr>
        <w:t xml:space="preserve">Natureza do texto.</w:t>
      </w:r>
      <w:r>
        <w:t xml:space="preserve"> </w:t>
      </w:r>
      <w:r>
        <w:t xml:space="preserve">Obra de caráter didático, que expressa exclusivamente a opinião do autor e não representa posicionamento de qualquer órgão ou instituição pública. Não constitui consultoria nem parecer jurídico.</w:t>
      </w:r>
    </w:p>
    <w:p>
      <w:pPr>
        <w:pStyle w:val="BodyText"/>
      </w:pPr>
      <w:r>
        <w:rPr>
          <w:b/>
          <w:bCs/>
        </w:rPr>
        <w:t xml:space="preserve">Critérios de edição.</w:t>
      </w:r>
    </w:p>
    <w:p>
      <w:pPr>
        <w:pStyle w:val="Compact"/>
        <w:numPr>
          <w:ilvl w:val="0"/>
          <w:numId w:val="1001"/>
        </w:numPr>
      </w:pPr>
      <w:r>
        <w:t xml:space="preserve">Exemplos são apresentados como casos impessoais.</w:t>
      </w:r>
    </w:p>
    <w:p>
      <w:pPr>
        <w:pStyle w:val="Compact"/>
        <w:numPr>
          <w:ilvl w:val="0"/>
          <w:numId w:val="1001"/>
        </w:numPr>
      </w:pPr>
      <w:r>
        <w:t xml:space="preserve">Dados numéricos foram conferidos com as fontes do Anexo C e corrigidos quando necessário.</w:t>
      </w:r>
    </w:p>
    <w:p>
      <w:pPr>
        <w:pStyle w:val="Compact"/>
        <w:numPr>
          <w:ilvl w:val="0"/>
          <w:numId w:val="1001"/>
        </w:numPr>
      </w:pPr>
      <w:r>
        <w:t xml:space="preserve">Posições interpretativas do autor aparecem identificadas como tais.</w:t>
      </w:r>
    </w:p>
    <w:p>
      <w:pPr>
        <w:pStyle w:val="Compact"/>
        <w:numPr>
          <w:ilvl w:val="0"/>
          <w:numId w:val="1001"/>
        </w:numPr>
      </w:pPr>
      <w:r>
        <w:t xml:space="preserve">Notas destacadas indicam reflexos práticos para a advocacia pública fiscal.</w:t>
      </w:r>
    </w:p>
    <w:p>
      <w:pPr>
        <w:pStyle w:val="FirstParagraph"/>
      </w:pPr>
      <w:r>
        <w:rPr>
          <w:b/>
          <w:bCs/>
        </w:rPr>
        <w:t xml:space="preserve">Roteiro (método 5W2H).</w:t>
      </w:r>
      <w:r>
        <w:t xml:space="preserve"> </w:t>
      </w:r>
      <w:r>
        <w:t xml:space="preserve">A matéria organiza-se em oito perguntas, que orientam a leitura dos capítulos: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Pergunta</w:t>
            </w:r>
          </w:p>
        </w:tc>
        <w:tc>
          <w:tcPr/>
          <w:p>
            <w:pPr>
              <w:pStyle w:val="Compact"/>
            </w:pPr>
            <w:r>
              <w:t xml:space="preserve">Resposta curta</w:t>
            </w:r>
          </w:p>
        </w:tc>
        <w:tc>
          <w:tcPr/>
          <w:p>
            <w:pPr>
              <w:pStyle w:val="Compact"/>
            </w:pPr>
            <w:r>
              <w:t xml:space="preserve">Capítulos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 quê?</w:t>
            </w:r>
          </w:p>
        </w:tc>
        <w:tc>
          <w:tcPr/>
          <w:p>
            <w:pPr>
              <w:pStyle w:val="Compact"/>
            </w:pPr>
            <w:r>
              <w:t xml:space="preserve">A tributação do consumo: saem IPI, PIS, Cofins, ICMS e ISS; entram CBS, IBS e Imposto Seletivo (IS).</w:t>
            </w:r>
          </w:p>
        </w:tc>
        <w:tc>
          <w:tcPr/>
          <w:p>
            <w:pPr>
              <w:pStyle w:val="Compact"/>
            </w:pPr>
            <w:r>
              <w:t xml:space="preserve">2 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 quê?</w:t>
            </w:r>
          </w:p>
        </w:tc>
        <w:tc>
          <w:tcPr/>
          <w:p>
            <w:pPr>
              <w:pStyle w:val="Compact"/>
            </w:pPr>
            <w:r>
              <w:t xml:space="preserve">Complexidade: cinco tributos, milhares de leis, guerra fiscal e litígio em massa.</w:t>
            </w:r>
          </w:p>
        </w:tc>
        <w:tc>
          <w:tcPr/>
          <w:p>
            <w:pPr>
              <w:pStyle w:val="Compact"/>
            </w:pPr>
            <w:r>
              <w:t xml:space="preserve">3 e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Como?</w:t>
            </w:r>
          </w:p>
        </w:tc>
        <w:tc>
          <w:tcPr/>
          <w:p>
            <w:pPr>
              <w:pStyle w:val="Compact"/>
            </w:pPr>
            <w:r>
              <w:t xml:space="preserve">IVA dual: mesma base e mesmas regras para União, Estados e Municípios.</w:t>
            </w:r>
          </w:p>
        </w:tc>
        <w:tc>
          <w:tcPr/>
          <w:p>
            <w:pPr>
              <w:pStyle w:val="Compact"/>
            </w:pPr>
            <w:r>
              <w:t xml:space="preserve">5 e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Quem?</w:t>
            </w:r>
          </w:p>
        </w:tc>
        <w:tc>
          <w:tcPr/>
          <w:p>
            <w:pPr>
              <w:pStyle w:val="Compact"/>
            </w:pPr>
            <w:r>
              <w:t xml:space="preserve">A União administra a CBS; Estados e Municípios, o IBS, por meio do Comitê Gestor (CGIBS).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Onde?</w:t>
            </w:r>
          </w:p>
        </w:tc>
        <w:tc>
          <w:tcPr/>
          <w:p>
            <w:pPr>
              <w:pStyle w:val="Compact"/>
            </w:pPr>
            <w:r>
              <w:t xml:space="preserve">No destino: a receita pertence ao local do consumo, não ao da produção.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Quando?</w:t>
            </w:r>
          </w:p>
        </w:tc>
        <w:tc>
          <w:tcPr/>
          <w:p>
            <w:pPr>
              <w:pStyle w:val="Compact"/>
            </w:pPr>
            <w:r>
              <w:t xml:space="preserve">Testes em 2026; ICMS e ISS extintos em 2033; partilha do IBS em transição até 2077.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Quanto?</w:t>
            </w:r>
          </w:p>
        </w:tc>
        <w:tc>
          <w:tcPr/>
          <w:p>
            <w:pPr>
              <w:pStyle w:val="Compact"/>
            </w:pPr>
            <w:r>
              <w:t xml:space="preserve">Alíquota de referência ainda não fixada; o CGIBS estimou 27,91% para CBS + IBS, para fins orçamentários.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 aberto</w:t>
            </w:r>
          </w:p>
        </w:tc>
        <w:tc>
          <w:tcPr/>
          <w:p>
            <w:pPr>
              <w:pStyle w:val="Compact"/>
            </w:pPr>
            <w:r>
              <w:t xml:space="preserve">Quem inscreve e cobra o IBS, qual Justiça julga e qual será a carga final.</w:t>
            </w:r>
          </w:p>
        </w:tc>
        <w:tc>
          <w:tcPr/>
          <w:p>
            <w:pPr>
              <w:pStyle w:val="Compact"/>
            </w:pPr>
            <w:r>
              <w:t xml:space="preserve">9 e 10</w:t>
            </w:r>
          </w:p>
        </w:tc>
      </w:tr>
    </w:tbl>
    <w:bookmarkEnd w:id="9"/>
    <w:bookmarkStart w:id="17" w:name="sec-cap01"/>
    <w:p>
      <w:pPr>
        <w:pStyle w:val="Heading1"/>
      </w:pPr>
      <w:r>
        <w:t xml:space="preserve">Capítulo 1 — Uma reforma em construção</w:t>
      </w:r>
    </w:p>
    <w:p>
      <w:pPr>
        <w:pStyle w:val="FirstParagraph"/>
      </w:pPr>
      <w:r>
        <w:t xml:space="preserve">A reforma tributária do consumo já está em vigor, mas ainda não está concluída. Ela substitui tributos que respondem por cerca de 43% da arrecadação nacional e, por isso, avança com cautela e sob incerteza.</w:t>
      </w:r>
    </w:p>
    <w:bookmarkStart w:id="10" w:name="a-metáfora-da-obra"/>
    <w:p>
      <w:pPr>
        <w:pStyle w:val="Heading2"/>
      </w:pPr>
      <w:r>
        <w:t xml:space="preserve">1.1 A metáfora da obra</w:t>
      </w:r>
    </w:p>
    <w:p>
      <w:pPr>
        <w:pStyle w:val="FirstParagraph"/>
      </w:pPr>
      <w:r>
        <w:t xml:space="preserve">A reforma pode ser comparada à de um edifício. Já existem o projeto do arquiteto (a Emenda Constitucional nº 132/2023), as fundações (as Leis Complementares nº 214/2025 e nº 227/2026) e o primeiro pavimento em construção (o ano de teste de 2026).</w:t>
      </w:r>
    </w:p>
    <w:p>
      <w:pPr>
        <w:pStyle w:val="BodyText"/>
      </w:pPr>
      <w:r>
        <w:t xml:space="preserve">Parte da planta, porém, ainda está sendo desenhada. Não se sabe quantos andares a obra terá nem qual será seu acabamento final.</w:t>
      </w:r>
    </w:p>
    <w:p>
      <w:pPr>
        <w:pStyle w:val="BodyText"/>
      </w:pPr>
      <w:r>
        <w:t xml:space="preserve">O que já está firme é a finalidade: por que reformar e o que se pretende alcançar. Por isso, este manual parte do sistema atual e de seus defeitos (Capítulos 2 a 4) antes de descrever o novo modelo (Capítulos 5 a 9).</w:t>
      </w:r>
    </w:p>
    <w:bookmarkEnd w:id="10"/>
    <w:bookmarkStart w:id="12" w:name="a-dimensão-econômica-da-mudança"/>
    <w:p>
      <w:pPr>
        <w:pStyle w:val="Heading2"/>
      </w:pPr>
      <w:r>
        <w:t xml:space="preserve">1.2 A dimensão econômica da mudança</w:t>
      </w:r>
    </w:p>
    <w:p>
      <w:pPr>
        <w:pStyle w:val="FirstParagraph"/>
      </w:pPr>
      <w:r>
        <w:t xml:space="preserve">Em 2024, os tributos sobre bens e serviços somaram 13,91% do PIB, para uma carga tributária bruta de 32,32% do PIB, segundo estimativa do Tesouro Nacional (</w:t>
      </w:r>
      <w:hyperlink r:id="rId11">
        <w:r>
          <w:rPr>
            <w:rStyle w:val="Hyperlink"/>
          </w:rPr>
          <w:t xml:space="preserve">Poder360, 2025</w:t>
        </w:r>
      </w:hyperlink>
      <w:r>
        <w:t xml:space="preserve">). A tributação do consumo responde, portanto, por cerca de 43% de tudo o que o Estado brasileiro arrecada.</w:t>
      </w:r>
    </w:p>
    <w:p>
      <w:pPr>
        <w:pStyle w:val="BodyText"/>
      </w:pPr>
      <w:r>
        <w:t xml:space="preserve">Alterar essa base explica o temor dos dois lados da relação tributária:</w:t>
      </w:r>
    </w:p>
    <w:p>
      <w:pPr>
        <w:pStyle w:val="Compact"/>
        <w:numPr>
          <w:ilvl w:val="0"/>
          <w:numId w:val="1002"/>
        </w:numPr>
      </w:pPr>
      <w:r>
        <w:t xml:space="preserve">União, Estados e Municípios receiam perder receita, e muitos deles já estão endividados;</w:t>
      </w:r>
    </w:p>
    <w:p>
      <w:pPr>
        <w:pStyle w:val="Compact"/>
        <w:numPr>
          <w:ilvl w:val="0"/>
          <w:numId w:val="1002"/>
        </w:numPr>
      </w:pPr>
      <w:r>
        <w:t xml:space="preserve">contribuintes e consumidores receiam aumento de carga, pois as alíquotas definitivas ainda não foram fixadas.</w:t>
      </w:r>
    </w:p>
    <w:bookmarkEnd w:id="12"/>
    <w:bookmarkStart w:id="14" w:name="uma-mudança-de-natureza-federativa"/>
    <w:p>
      <w:pPr>
        <w:pStyle w:val="Heading2"/>
      </w:pPr>
      <w:r>
        <w:t xml:space="preserve">1.3 Uma mudança de natureza federativa</w:t>
      </w:r>
    </w:p>
    <w:p>
      <w:pPr>
        <w:pStyle w:val="FirstParagraph"/>
      </w:pPr>
      <w:r>
        <w:t xml:space="preserve">A reforma altera também a forma como União, Estados e Municípios se financiam e se relacionam (item 5.7). Seu êxito depende de cooperação inédita entre administrações tributárias e procuradorias das três esferas.</w:t>
      </w:r>
    </w:p>
    <w:p>
      <w:pPr>
        <w:pStyle w:val="BodyText"/>
      </w:pPr>
      <w:r>
        <w:t xml:space="preserve">Esse movimento já produziu instituições novas. Em 2025, foi criado o Conselho Nacional da Advocacia Pública Fiscal (Conap), que promove a colaboração entre a Procuradoria-Geral da Fazenda Nacional e as procuradorias-gerais dos Estados, do Distrito Federal e dos Municípios (</w:t>
      </w:r>
      <w:hyperlink r:id="rId13">
        <w:r>
          <w:rPr>
            <w:rStyle w:val="Hyperlink"/>
          </w:rPr>
          <w:t xml:space="preserve">Portal Cont News, 2025</w:t>
        </w:r>
      </w:hyperlink>
      <w:r>
        <w:t xml:space="preserve">).</w:t>
      </w:r>
    </w:p>
    <w:bookmarkEnd w:id="14"/>
    <w:bookmarkStart w:id="15" w:name="mudanças-simultâneas"/>
    <w:p>
      <w:pPr>
        <w:pStyle w:val="Heading2"/>
      </w:pPr>
      <w:r>
        <w:t xml:space="preserve">1.4 Mudanças simultâneas</w:t>
      </w:r>
    </w:p>
    <w:p>
      <w:pPr>
        <w:pStyle w:val="FirstParagraph"/>
      </w:pPr>
      <w:r>
        <w:t xml:space="preserve">A reforma do consumo não chega sozinha. Para a área fiscal, três frentes avançam ao mesmo tempo:</w:t>
      </w:r>
    </w:p>
    <w:p>
      <w:pPr>
        <w:pStyle w:val="Compact"/>
        <w:numPr>
          <w:ilvl w:val="0"/>
          <w:numId w:val="1003"/>
        </w:numPr>
      </w:pPr>
      <w:r>
        <w:t xml:space="preserve">a substituição dos tributos sobre o consumo (EC 132/2023, LC 214/2025 e LC 227/2026);</w:t>
      </w:r>
    </w:p>
    <w:p>
      <w:pPr>
        <w:pStyle w:val="Compact"/>
        <w:numPr>
          <w:ilvl w:val="0"/>
          <w:numId w:val="1003"/>
        </w:numPr>
      </w:pPr>
      <w:r>
        <w:t xml:space="preserve">a reforma do Código Tributário Nacional pela LC 236/2026, publicada em 4 de setembro de 2026, que alterou o processo administrativo fiscal e a inscrição em dívida ativa (Capítulo 11);</w:t>
      </w:r>
    </w:p>
    <w:p>
      <w:pPr>
        <w:pStyle w:val="Compact"/>
        <w:numPr>
          <w:ilvl w:val="0"/>
          <w:numId w:val="1003"/>
        </w:numPr>
      </w:pPr>
      <w:r>
        <w:t xml:space="preserve">o projeto de nova Lei de Execução Fiscal, em tramitação no Congresso Nacional.</w:t>
      </w:r>
    </w:p>
    <w:p>
      <w:pPr>
        <w:pStyle w:val="FirstParagraph"/>
      </w:pPr>
      <w:r>
        <w:t xml:space="preserve">Em extensão, o conjunto só encontra paralelo na Constituição de 1988.</w:t>
      </w:r>
    </w:p>
    <w:bookmarkEnd w:id="15"/>
    <w:bookmarkStart w:id="16" w:name="um-horizonte-de-uma-geração"/>
    <w:p>
      <w:pPr>
        <w:pStyle w:val="Heading2"/>
      </w:pPr>
      <w:r>
        <w:t xml:space="preserve">1.5 Um horizonte de uma geração</w:t>
      </w:r>
    </w:p>
    <w:p>
      <w:pPr>
        <w:pStyle w:val="FirstParagraph"/>
      </w:pPr>
      <w:r>
        <w:t xml:space="preserve">O ICMS e o ISS deixam de existir em 2033, mas seus créditos continuarão a ser lançados e cobrados por muitos anos (item 8.7). Para quem atua na cobrança da dívida ativa, a implementação da reforma ocupará praticamente uma carreira inteira.</w:t>
      </w:r>
    </w:p>
    <w:bookmarkEnd w:id="16"/>
    <w:bookmarkEnd w:id="17"/>
    <w:bookmarkStart w:id="24" w:name="sec-cap02"/>
    <w:p>
      <w:pPr>
        <w:pStyle w:val="Heading1"/>
      </w:pPr>
      <w:r>
        <w:t xml:space="preserve">Capítulo 2 — O sistema anterior: competências, bases e receitas</w:t>
      </w:r>
    </w:p>
    <w:p>
      <w:pPr>
        <w:pStyle w:val="FirstParagraph"/>
      </w:pPr>
      <w:r>
        <w:t xml:space="preserve">A Constituição de 1988 reparte entre União, Estados e Municípios a competência para tributar renda, patrimônio e consumo. A reforma altera apenas a coluna do consumo, a de maior peso na arrecadação e a mais complexa.</w:t>
      </w:r>
    </w:p>
    <w:bookmarkStart w:id="18" w:name="Xb4e3e0b2d2d1e07aa6be521caca4b67c6cab109"/>
    <w:p>
      <w:pPr>
        <w:pStyle w:val="Heading2"/>
      </w:pPr>
      <w:r>
        <w:t xml:space="preserve">2.1 Repartição de competências e autonomia financeira</w:t>
      </w:r>
    </w:p>
    <w:p>
      <w:pPr>
        <w:pStyle w:val="FirstParagraph"/>
      </w:pPr>
      <w:r>
        <w:t xml:space="preserve">O sistema de 1988 é de repartição de competências tributárias: cada ente recebe tributos próprios, que só ele pode instituir e cobrar. O IPVA é pago ao Estado; o IPTU, ao Município; o imposto de renda, à União.</w:t>
      </w:r>
    </w:p>
    <w:p>
      <w:pPr>
        <w:pStyle w:val="BodyText"/>
      </w:pPr>
      <w:r>
        <w:t xml:space="preserve">A lógica é federativa. Entende-se que só há autonomia política com receitas próprias suficientes para o exercício das competências administrativas de cada ente.</w:t>
      </w:r>
    </w:p>
    <w:p>
      <w:pPr>
        <w:pStyle w:val="BodyText"/>
      </w:pPr>
      <w:r>
        <w:t xml:space="preserve">Na prática, essa premissa não se confirmou para a maioria dos entes, que depende de transferências (item 2.5).</w:t>
      </w:r>
    </w:p>
    <w:bookmarkEnd w:id="18"/>
    <w:bookmarkStart w:id="19" w:name="as-três-bases-econômicas"/>
    <w:p>
      <w:pPr>
        <w:pStyle w:val="Heading2"/>
      </w:pPr>
      <w:r>
        <w:t xml:space="preserve">2.2 As três bases econômicas</w:t>
      </w:r>
    </w:p>
    <w:p>
      <w:pPr>
        <w:pStyle w:val="FirstParagraph"/>
      </w:pPr>
      <w:r>
        <w:t xml:space="preserve">A classificação econômica dos tributos, adotada por organismos como a OCDE, agrupa-os pela base que alcançam: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renda</w:t>
      </w:r>
      <w:r>
        <w:t xml:space="preserve"> </w:t>
      </w:r>
      <w:r>
        <w:t xml:space="preserve">— o que se ganha: salários, honorários, aluguéis, juros e lucros;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patrimônio</w:t>
      </w:r>
      <w:r>
        <w:t xml:space="preserve"> </w:t>
      </w:r>
      <w:r>
        <w:t xml:space="preserve">— o que se tem: imóveis, veículos e terras, bem como sua transmissão;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consumo</w:t>
      </w:r>
      <w:r>
        <w:t xml:space="preserve"> </w:t>
      </w:r>
      <w:r>
        <w:t xml:space="preserve">— o que se adquire: bens e serviços.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Ente</w:t>
            </w:r>
          </w:p>
        </w:tc>
        <w:tc>
          <w:tcPr/>
          <w:p>
            <w:pPr>
              <w:pStyle w:val="Compact"/>
            </w:pPr>
            <w:r>
              <w:t xml:space="preserve">Renda</w:t>
            </w:r>
          </w:p>
        </w:tc>
        <w:tc>
          <w:tcPr/>
          <w:p>
            <w:pPr>
              <w:pStyle w:val="Compact"/>
            </w:pPr>
            <w:r>
              <w:t xml:space="preserve">Patrimônio</w:t>
            </w:r>
          </w:p>
        </w:tc>
        <w:tc>
          <w:tcPr/>
          <w:p>
            <w:pPr>
              <w:pStyle w:val="Compact"/>
            </w:pPr>
            <w:r>
              <w:t xml:space="preserve">Consumo (alterado pela reforma)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União</w:t>
            </w:r>
          </w:p>
        </w:tc>
        <w:tc>
          <w:tcPr/>
          <w:p>
            <w:pPr>
              <w:pStyle w:val="Compact"/>
            </w:pPr>
            <w:r>
              <w:t xml:space="preserve">IR (pessoa física e jurídica) e CSLL</w:t>
            </w:r>
          </w:p>
        </w:tc>
        <w:tc>
          <w:tcPr/>
          <w:p>
            <w:pPr>
              <w:pStyle w:val="Compact"/>
            </w:pPr>
            <w:r>
              <w:t xml:space="preserve">ITR</w:t>
            </w:r>
          </w:p>
        </w:tc>
        <w:tc>
          <w:tcPr/>
          <w:p>
            <w:pPr>
              <w:pStyle w:val="Compact"/>
            </w:pPr>
            <w:r>
              <w:t xml:space="preserve">IPI, PIS e Cofins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Estados e DF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IPVA e ITCMD</w:t>
            </w:r>
          </w:p>
        </w:tc>
        <w:tc>
          <w:tcPr/>
          <w:p>
            <w:pPr>
              <w:pStyle w:val="Compact"/>
            </w:pPr>
            <w:r>
              <w:t xml:space="preserve">ICMS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Municípios e DF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IPTU e ITBI</w:t>
            </w:r>
          </w:p>
        </w:tc>
        <w:tc>
          <w:tcPr/>
          <w:p>
            <w:pPr>
              <w:pStyle w:val="Compact"/>
            </w:pPr>
            <w:r>
              <w:t xml:space="preserve">ISS</w:t>
            </w:r>
          </w:p>
        </w:tc>
      </w:tr>
    </w:tbl>
    <w:p>
      <w:pPr>
        <w:pStyle w:val="BodyText"/>
      </w:pPr>
      <w:r>
        <w:t xml:space="preserve">Patrimônio e consumo são as duas bases repartidas entre as três esferas; a renda é tributada apenas pela União. A reforma do consumo não substitui os tributos sobre renda e patrimônio, embora a EC 132/2023 tenha feito ajustes pontuais em alguns deles, como ITCMD, IPVA e IPTU.</w:t>
      </w:r>
    </w:p>
    <w:bookmarkEnd w:id="19"/>
    <w:bookmarkStart w:id="20" w:name="os-tributos-sobre-o-consumo"/>
    <w:p>
      <w:pPr>
        <w:pStyle w:val="Heading2"/>
      </w:pPr>
      <w:r>
        <w:t xml:space="preserve">2.3 Os tributos sobre o consumo</w:t>
      </w:r>
    </w:p>
    <w:p>
      <w:pPr>
        <w:pStyle w:val="FirstParagraph"/>
      </w:pPr>
      <w:r>
        <w:rPr>
          <w:b/>
          <w:bCs/>
        </w:rPr>
        <w:t xml:space="preserve">IPI (União).</w:t>
      </w:r>
      <w:r>
        <w:t xml:space="preserve"> </w:t>
      </w:r>
      <w:r>
        <w:t xml:space="preserve">Incide sobre produtos industrializados. O conceito legal de industrialização é amplo: abrange transformação, beneficiamento, montagem, acondicionamento e recondicionamento. Até a embalagem de um produto pode configurar industrialização. As alíquotas variam por produto, conforme a Tabela de Incidência do IPI (TIPI).</w:t>
      </w:r>
    </w:p>
    <w:p>
      <w:pPr>
        <w:pStyle w:val="BodyText"/>
      </w:pPr>
      <w:r>
        <w:rPr>
          <w:b/>
          <w:bCs/>
        </w:rPr>
        <w:t xml:space="preserve">PIS e Cofins (União).</w:t>
      </w:r>
      <w:r>
        <w:t xml:space="preserve"> </w:t>
      </w:r>
      <w:r>
        <w:t xml:space="preserve">São contribuições sociais sobre a receita das pessoas jurídicas. Em rigor, não tributam o consumo, mas tudo o que a empresa fatura; como integram o custo, repercutem no preço. As alíquotas somadas são de 3,65% no regime cumulativo e de 9,25% no não cumulativo.</w:t>
      </w:r>
    </w:p>
    <w:p>
      <w:pPr>
        <w:pStyle w:val="BodyText"/>
      </w:pPr>
      <w:r>
        <w:rPr>
          <w:b/>
          <w:bCs/>
        </w:rPr>
        <w:t xml:space="preserve">ICMS (Estados e DF).</w:t>
      </w:r>
      <w:r>
        <w:t xml:space="preserve"> </w:t>
      </w:r>
      <w:r>
        <w:t xml:space="preserve">Incide sobre a circulação de mercadorias e sobre os serviços de transporte interestadual e intermunicipal e de comunicação, alcançando também energia elétrica e combustíveis. É o tributo de maior arrecadação do país. As alíquotas gerais variam, em regra, entre 17% e 23%, conforme o Estado.</w:t>
      </w:r>
    </w:p>
    <w:p>
      <w:pPr>
        <w:pStyle w:val="BodyText"/>
      </w:pPr>
      <w:r>
        <w:rPr>
          <w:b/>
          <w:bCs/>
        </w:rPr>
        <w:t xml:space="preserve">ISS (Municípios e DF).</w:t>
      </w:r>
      <w:r>
        <w:t xml:space="preserve"> </w:t>
      </w:r>
      <w:r>
        <w:t xml:space="preserve">Incide sobre os serviços da lista anexa à LC 116/2003: atividades de profissionais liberais, serviços de informática, fornecimento de mão de obra, entre outros. A alíquota mínima é de 2% e a máxima, de 5%.</w:t>
      </w:r>
    </w:p>
    <w:bookmarkEnd w:id="20"/>
    <w:bookmarkStart w:id="21" w:name="Xc60de600ce8f0b5381ff4b3d01a3474e5a7204a"/>
    <w:p>
      <w:pPr>
        <w:pStyle w:val="Heading2"/>
      </w:pPr>
      <w:r>
        <w:t xml:space="preserve">2.4 Tributação indireta: contribuinte de direito e contribuinte de fato</w:t>
      </w:r>
    </w:p>
    <w:p>
      <w:pPr>
        <w:pStyle w:val="FirstParagraph"/>
      </w:pPr>
      <w:r>
        <w:t xml:space="preserve">Os tributos sobre o consumo são chamados indiretos. A lei obriga o fornecedor a pagá-los, mas o ônus econômico é transferido ao consumidor no preço. Distinguem-se, por isso: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contribuinte de direito</w:t>
      </w:r>
      <w:r>
        <w:t xml:space="preserve"> </w:t>
      </w:r>
      <w:r>
        <w:t xml:space="preserve">— quem a lei obriga a apurar e recolher o tributo (o fabricante, o comerciante, o prestador);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contribuinte de fato</w:t>
      </w:r>
      <w:r>
        <w:t xml:space="preserve"> </w:t>
      </w:r>
      <w:r>
        <w:t xml:space="preserve">— quem suporta o ônus no preço (o consumidor final).</w:t>
      </w:r>
    </w:p>
    <w:p>
      <w:pPr>
        <w:pStyle w:val="FirstParagraph"/>
      </w:pPr>
      <w:r>
        <w:rPr>
          <w:b/>
          <w:bCs/>
        </w:rPr>
        <w:t xml:space="preserve">Exemplo.</w:t>
      </w:r>
      <w:r>
        <w:t xml:space="preserve"> </w:t>
      </w:r>
      <w:r>
        <w:t xml:space="preserve">No preço de um pacote de biscoitos estão embutidos PIS, Cofins e ICMS; o IPI também estaria, se a alíquota desse produto não fosse zero. O consumidor não vê o pagamento, mas o suporta.</w:t>
      </w:r>
    </w:p>
    <w:p>
      <w:pPr>
        <w:pStyle w:val="BodyText"/>
      </w:pPr>
      <w:r>
        <w:t xml:space="preserve">Essa carga é invisível no orçamento familiar. IPTU, IPVA e imposto de renda são percebidos como despesa; a tributação do consumo, não. No entanto, ela está na conta de energia, na passagem de ônibus, no combustível, na mensalidade escolar e em quase tudo o que se adquire.</w:t>
      </w:r>
    </w:p>
    <w:p>
      <w:pPr>
        <w:pStyle w:val="BodyText"/>
      </w:pPr>
      <w:r>
        <w:t xml:space="preserve">A percepção também varia conforme o contribuinte. IPI, PIS e Cofins são, em regra, tributos de pessoas jurídicas. O ICMS e o ISS alcançam a pessoa física apenas em situações específicas, como a do profissional autônomo sujeito ao ISS.</w:t>
      </w:r>
    </w:p>
    <w:bookmarkEnd w:id="21"/>
    <w:bookmarkStart w:id="23" w:name="receitas-próprias-e-transferências"/>
    <w:p>
      <w:pPr>
        <w:pStyle w:val="Heading2"/>
      </w:pPr>
      <w:r>
        <w:t xml:space="preserve">2.5 Receitas próprias e transferências</w:t>
      </w:r>
    </w:p>
    <w:p>
      <w:pPr>
        <w:pStyle w:val="FirstParagraph"/>
      </w:pPr>
      <w:r>
        <w:t xml:space="preserve">O Brasil tem 5.570 Municípios. Desses, 319 têm mais de 100 mil habitantes e 41 superam 500 mil, segundo o Censo 2022 do IBGE (</w:t>
      </w:r>
      <w:hyperlink r:id="rId22">
        <w:r>
          <w:rPr>
            <w:rStyle w:val="Hyperlink"/>
          </w:rPr>
          <w:t xml:space="preserve">O Povo, 2023</w:t>
        </w:r>
      </w:hyperlink>
      <w:r>
        <w:t xml:space="preserve">). A arrecadação própria relevante de IPTU e ISS concentra-se nesse grupo menor.</w:t>
      </w:r>
    </w:p>
    <w:p>
      <w:pPr>
        <w:pStyle w:val="BodyText"/>
      </w:pPr>
      <w:r>
        <w:t xml:space="preserve">A maioria dos Municípios vive de transferências constitucionais:</w:t>
      </w:r>
    </w:p>
    <w:p>
      <w:pPr>
        <w:pStyle w:val="Compact"/>
        <w:numPr>
          <w:ilvl w:val="0"/>
          <w:numId w:val="1006"/>
        </w:numPr>
      </w:pPr>
      <w:r>
        <w:t xml:space="preserve">25% do ICMS arrecadado pelo Estado (CF, art. 158, IV, a);</w:t>
      </w:r>
    </w:p>
    <w:p>
      <w:pPr>
        <w:pStyle w:val="Compact"/>
        <w:numPr>
          <w:ilvl w:val="0"/>
          <w:numId w:val="1006"/>
        </w:numPr>
      </w:pPr>
      <w:r>
        <w:t xml:space="preserve">50% do IPVA dos veículos licenciados em seu território (art. 158, III);</w:t>
      </w:r>
    </w:p>
    <w:p>
      <w:pPr>
        <w:pStyle w:val="Compact"/>
        <w:numPr>
          <w:ilvl w:val="0"/>
          <w:numId w:val="1006"/>
        </w:numPr>
      </w:pPr>
      <w:r>
        <w:t xml:space="preserve">o imposto de renda retido na fonte sobre os rendimentos que pagam (art. 158, I);</w:t>
      </w:r>
    </w:p>
    <w:p>
      <w:pPr>
        <w:pStyle w:val="Compact"/>
        <w:numPr>
          <w:ilvl w:val="0"/>
          <w:numId w:val="1006"/>
        </w:numPr>
      </w:pPr>
      <w:r>
        <w:t xml:space="preserve">o Fundo de Participação dos Municípios, formado por 25,5% da arrecadação do IR e do IPI (art. 159, I).</w:t>
      </w:r>
    </w:p>
    <w:p>
      <w:pPr>
        <w:pStyle w:val="FirstParagraph"/>
      </w:pPr>
      <w:r>
        <w:t xml:space="preserve">Por isso, mesmo Municípios sem ISS relevante temem a reforma: parte de suas transferências vem de tributos que serão extintos ou reduzidos. A EC 132/2023 preservou a lógica de partilha:</w:t>
      </w:r>
    </w:p>
    <w:p>
      <w:pPr>
        <w:pStyle w:val="Compact"/>
        <w:numPr>
          <w:ilvl w:val="0"/>
          <w:numId w:val="1007"/>
        </w:numPr>
      </w:pPr>
      <w:r>
        <w:t xml:space="preserve">25% do IBS distribuído aos Estados pertence aos Municípios (art. 158, IV, b);</w:t>
      </w:r>
    </w:p>
    <w:p>
      <w:pPr>
        <w:pStyle w:val="Compact"/>
        <w:numPr>
          <w:ilvl w:val="0"/>
          <w:numId w:val="1007"/>
        </w:numPr>
      </w:pPr>
      <w:r>
        <w:t xml:space="preserve">o Imposto Seletivo integra os fundos de participação (art. 159, I);</w:t>
      </w:r>
    </w:p>
    <w:p>
      <w:pPr>
        <w:pStyle w:val="Compact"/>
        <w:numPr>
          <w:ilvl w:val="0"/>
          <w:numId w:val="1007"/>
        </w:numPr>
      </w:pPr>
      <w:r>
        <w:t xml:space="preserve">a União compensará eventual redução desses fundos causada pela substituição do IPI pelo Imposto Seletivo (EC 132/2023, art. 7º).</w:t>
      </w:r>
    </w:p>
    <w:bookmarkEnd w:id="23"/>
    <w:bookmarkEnd w:id="24"/>
    <w:bookmarkStart w:id="36" w:name="sec-cap03"/>
    <w:p>
      <w:pPr>
        <w:pStyle w:val="Heading1"/>
      </w:pPr>
      <w:r>
        <w:t xml:space="preserve">Capítulo 3 — Formação histórica do sistema (1965–2003)</w:t>
      </w:r>
    </w:p>
    <w:p>
      <w:pPr>
        <w:pStyle w:val="FirstParagraph"/>
      </w:pPr>
      <w:r>
        <w:t xml:space="preserve">O sistema atual não foi concebido como um todo. É uma sobreposição de camadas criadas entre 1965 e 2003, cada qual com base, regras de crédito e obrigações próprias — origem que explica boa parte de sua complexidade.</w:t>
      </w:r>
    </w:p>
    <w:p>
      <w:pPr>
        <w:pStyle w:val="BodyText"/>
      </w:pPr>
      <w:r>
        <w:drawing>
          <wp:inline>
            <wp:extent cx="5334000" cy="246792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img/f01_linha_tempo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7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Formação histórica dos tributos sobre o consumo (1965–2003).</w:t>
      </w:r>
      <w:r>
        <w:t xml:space="preserve"> </w:t>
      </w:r>
      <w:r>
        <w:t xml:space="preserve">Fonte: elaboração do autor.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Ano</w:t>
            </w:r>
          </w:p>
        </w:tc>
        <w:tc>
          <w:tcPr/>
          <w:p>
            <w:pPr>
              <w:pStyle w:val="Compact"/>
            </w:pPr>
            <w:r>
              <w:t xml:space="preserve">Norma</w:t>
            </w:r>
          </w:p>
        </w:tc>
        <w:tc>
          <w:tcPr/>
          <w:p>
            <w:pPr>
              <w:pStyle w:val="Compact"/>
            </w:pPr>
            <w:r>
              <w:t xml:space="preserve">Conteúdo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1965</w:t>
            </w:r>
          </w:p>
        </w:tc>
        <w:tc>
          <w:tcPr/>
          <w:p>
            <w:pPr>
              <w:pStyle w:val="Compact"/>
            </w:pPr>
            <w:r>
              <w:t xml:space="preserve">EC 18/1965</w:t>
            </w:r>
          </w:p>
        </w:tc>
        <w:tc>
          <w:tcPr/>
          <w:p>
            <w:pPr>
              <w:pStyle w:val="Compact"/>
            </w:pPr>
            <w:r>
              <w:t xml:space="preserve">Reorganiza o sistema e cria IPI, ICM e ISS, estrutura que perdura até hoje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1966</w:t>
            </w:r>
          </w:p>
        </w:tc>
        <w:tc>
          <w:tcPr/>
          <w:p>
            <w:pPr>
              <w:pStyle w:val="Compact"/>
            </w:pPr>
            <w:r>
              <w:t xml:space="preserve">Lei 5.172/1966 (CTN)</w:t>
            </w:r>
          </w:p>
        </w:tc>
        <w:tc>
          <w:tcPr/>
          <w:p>
            <w:pPr>
              <w:pStyle w:val="Compact"/>
            </w:pPr>
            <w:r>
              <w:t xml:space="preserve">Normas gerais de direito tributário, ainda vigentes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1968</w:t>
            </w:r>
          </w:p>
        </w:tc>
        <w:tc>
          <w:tcPr/>
          <w:p>
            <w:pPr>
              <w:pStyle w:val="Compact"/>
            </w:pPr>
            <w:r>
              <w:t xml:space="preserve">Decreto-Lei 406/1968</w:t>
            </w:r>
          </w:p>
        </w:tc>
        <w:tc>
          <w:tcPr/>
          <w:p>
            <w:pPr>
              <w:pStyle w:val="Compact"/>
            </w:pPr>
            <w:r>
              <w:t xml:space="preserve">Normas gerais do ICM e do ISS e lista de serviços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1970</w:t>
            </w:r>
          </w:p>
        </w:tc>
        <w:tc>
          <w:tcPr/>
          <w:p>
            <w:pPr>
              <w:pStyle w:val="Compact"/>
            </w:pPr>
            <w:r>
              <w:t xml:space="preserve">LC 7/1970 e LC 8/1970</w:t>
            </w:r>
          </w:p>
        </w:tc>
        <w:tc>
          <w:tcPr/>
          <w:p>
            <w:pPr>
              <w:pStyle w:val="Compact"/>
            </w:pPr>
            <w:r>
              <w:t xml:space="preserve">Instituem o PIS e o Pasep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1975</w:t>
            </w:r>
          </w:p>
        </w:tc>
        <w:tc>
          <w:tcPr/>
          <w:p>
            <w:pPr>
              <w:pStyle w:val="Compact"/>
            </w:pPr>
            <w:r>
              <w:t xml:space="preserve">LC 24/1975</w:t>
            </w:r>
          </w:p>
        </w:tc>
        <w:tc>
          <w:tcPr/>
          <w:p>
            <w:pPr>
              <w:pStyle w:val="Compact"/>
            </w:pPr>
            <w:r>
              <w:t xml:space="preserve">Exige convênio unânime dos Estados para benefícios de ICM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1988</w:t>
            </w:r>
          </w:p>
        </w:tc>
        <w:tc>
          <w:tcPr/>
          <w:p>
            <w:pPr>
              <w:pStyle w:val="Compact"/>
            </w:pPr>
            <w:r>
              <w:t xml:space="preserve">Constituição Federal</w:t>
            </w:r>
          </w:p>
        </w:tc>
        <w:tc>
          <w:tcPr/>
          <w:p>
            <w:pPr>
              <w:pStyle w:val="Compact"/>
            </w:pPr>
            <w:r>
              <w:t xml:space="preserve">Novo sistema tributário; o ICM torna-se ICMS e absorve energia, combustíveis, minerais, transporte e comunicação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1991</w:t>
            </w:r>
          </w:p>
        </w:tc>
        <w:tc>
          <w:tcPr/>
          <w:p>
            <w:pPr>
              <w:pStyle w:val="Compact"/>
            </w:pPr>
            <w:r>
              <w:t xml:space="preserve">LC 70/1991</w:t>
            </w:r>
          </w:p>
        </w:tc>
        <w:tc>
          <w:tcPr/>
          <w:p>
            <w:pPr>
              <w:pStyle w:val="Compact"/>
            </w:pPr>
            <w:r>
              <w:t xml:space="preserve">Institui a Cofins, em substituição ao Finsocial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1996</w:t>
            </w:r>
          </w:p>
        </w:tc>
        <w:tc>
          <w:tcPr/>
          <w:p>
            <w:pPr>
              <w:pStyle w:val="Compact"/>
            </w:pPr>
            <w:r>
              <w:t xml:space="preserve">LC 87/1996 (Lei Kandir)</w:t>
            </w:r>
          </w:p>
        </w:tc>
        <w:tc>
          <w:tcPr/>
          <w:p>
            <w:pPr>
              <w:pStyle w:val="Compact"/>
            </w:pPr>
            <w:r>
              <w:t xml:space="preserve">Normas gerais do ICMS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2002–2003</w:t>
            </w:r>
          </w:p>
        </w:tc>
        <w:tc>
          <w:tcPr/>
          <w:p>
            <w:pPr>
              <w:pStyle w:val="Compact"/>
            </w:pPr>
            <w:r>
              <w:t xml:space="preserve">Leis 10.637/2002 e 10.833/2003</w:t>
            </w:r>
          </w:p>
        </w:tc>
        <w:tc>
          <w:tcPr/>
          <w:p>
            <w:pPr>
              <w:pStyle w:val="Compact"/>
            </w:pPr>
            <w:r>
              <w:t xml:space="preserve">PIS e Cofins não cumulativos, com regras próprias de crédito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2003</w:t>
            </w:r>
          </w:p>
        </w:tc>
        <w:tc>
          <w:tcPr/>
          <w:p>
            <w:pPr>
              <w:pStyle w:val="Compact"/>
            </w:pPr>
            <w:r>
              <w:t xml:space="preserve">LC 116/2003</w:t>
            </w:r>
          </w:p>
        </w:tc>
        <w:tc>
          <w:tcPr/>
          <w:p>
            <w:pPr>
              <w:pStyle w:val="Compact"/>
            </w:pPr>
            <w:r>
              <w:t xml:space="preserve">Nova lei geral do ISS, em substituição ao DL 406/1968</w:t>
            </w:r>
          </w:p>
        </w:tc>
      </w:tr>
    </w:tbl>
    <w:bookmarkStart w:id="28" w:name="X9ca7fef3c1891b4dc07bd314e4a4af3e1ea2a47"/>
    <w:p>
      <w:pPr>
        <w:pStyle w:val="Heading2"/>
      </w:pPr>
      <w:r>
        <w:t xml:space="preserve">3.1 A Emenda Constitucional nº 18/1965 e o CTN</w:t>
      </w:r>
    </w:p>
    <w:p>
      <w:pPr>
        <w:pStyle w:val="FirstParagraph"/>
      </w:pPr>
      <w:r>
        <w:t xml:space="preserve">A EC 18, de 1º de dezembro de 1965, reorganizou o sistema tributário logo após 1964 e criou o IPI, o ICM e o ISS. O desenho de 1965 é, em essência, o que a reforma atual desmonta.</w:t>
      </w:r>
    </w:p>
    <w:p>
      <w:pPr>
        <w:pStyle w:val="BodyText"/>
      </w:pPr>
      <w:r>
        <w:t xml:space="preserve">A criação do ICM provocou, à época, temor semelhante ao que hoje cerca o IBS: afirmava-se que o novo imposto não poderia ser cobrado. Economistas que viveram aquela transição lembram que o sistema funcionou após um período de adaptação.</w:t>
      </w:r>
    </w:p>
    <w:p>
      <w:pPr>
        <w:pStyle w:val="BodyText"/>
      </w:pPr>
      <w:r>
        <w:t xml:space="preserve">O CTN (Lei 5.172/1966) tem duas partes de destino distinto:</w:t>
      </w:r>
    </w:p>
    <w:p>
      <w:pPr>
        <w:pStyle w:val="Compact"/>
        <w:numPr>
          <w:ilvl w:val="0"/>
          <w:numId w:val="1008"/>
        </w:numPr>
      </w:pPr>
      <w:r>
        <w:t xml:space="preserve">o Livro I (arts. 2º a 95) trata do sistema e dos impostos em espécie; parte dele não foi recepcionada pela Constituição de 1988 ou foi superada, e a reforma deve esvaziar outra parcela;</w:t>
      </w:r>
    </w:p>
    <w:p>
      <w:pPr>
        <w:pStyle w:val="Compact"/>
        <w:numPr>
          <w:ilvl w:val="0"/>
          <w:numId w:val="1008"/>
        </w:numPr>
      </w:pPr>
      <w:r>
        <w:t xml:space="preserve">o Livro II (art. 96 em diante) traz as normas gerais de direito tributário, ainda aplicadas e agora profundamente alteradas pela LC 236/2026 (Capítulo 11).</w:t>
      </w:r>
    </w:p>
    <w:bookmarkEnd w:id="28"/>
    <w:bookmarkStart w:id="32" w:name="o-iss-do-dl-4061968-à-lc-1162003"/>
    <w:p>
      <w:pPr>
        <w:pStyle w:val="Heading2"/>
      </w:pPr>
      <w:r>
        <w:t xml:space="preserve">3.2 O ISS: do DL 406/1968 à LC 116/2003</w:t>
      </w:r>
    </w:p>
    <w:p>
      <w:pPr>
        <w:pStyle w:val="FirstParagraph"/>
      </w:pPr>
      <w:r>
        <w:t xml:space="preserve">O DL 406/1968 regeu o ISS até a LC 116/2003, atual lei geral do imposto. A LC 157/2016 reformou-a, fixando alíquota mínima de 2% e medidas contra a guerra fiscal entre Municípios.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home/claude/.local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Reflexo prático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Créditos de ISS relativos a fatos geradores anteriores a 2003 regem-se pela lei então vigente (CTN, art. 144), inclusive o DL 406/1968, que os títulos antigos de dívida ativa ainda citam.</w:t>
            </w:r>
          </w:p>
          <w:p/>
        </w:tc>
      </w:tr>
    </w:tbl>
    <w:bookmarkEnd w:id="32"/>
    <w:bookmarkStart w:id="33" w:name="pis-pasep-e-cofins"/>
    <w:p>
      <w:pPr>
        <w:pStyle w:val="Heading2"/>
      </w:pPr>
      <w:r>
        <w:t xml:space="preserve">3.3 PIS, Pasep e Cofins</w:t>
      </w:r>
    </w:p>
    <w:p>
      <w:pPr>
        <w:pStyle w:val="FirstParagraph"/>
      </w:pPr>
      <w:r>
        <w:t xml:space="preserve">O PIS (LC 7/1970) foi criado para financiar o Programa de Integração Social, voltado à renda do trabalhador. O Pasep (LC 8/1970) é seu equivalente para entes e entidades públicas.</w:t>
      </w:r>
    </w:p>
    <w:p>
      <w:pPr>
        <w:pStyle w:val="BodyText"/>
      </w:pPr>
      <w:r>
        <w:t xml:space="preserve">O Pasep ilustra o conflito federativo do modelo atual. A União cobra a contribuição dos Municípios, inclusive por execução fiscal, e os Municípios litigam contra a União. O Estado litiga contra si mesmo, e o custo recai sobre o cidadão.</w:t>
      </w:r>
    </w:p>
    <w:p>
      <w:pPr>
        <w:pStyle w:val="BodyText"/>
      </w:pPr>
      <w:r>
        <w:t xml:space="preserve">A Cofins (LC 70/1991) substituiu o Finsocial. Em 2002 e 2003, PIS e Cofins passaram a ter regime não cumulativo (Leis 10.637/2002 e 10.833/2003), que convive até hoje com o cumulativo.</w:t>
      </w:r>
    </w:p>
    <w:bookmarkEnd w:id="33"/>
    <w:bookmarkStart w:id="34" w:name="a-constituição-de-1988"/>
    <w:p>
      <w:pPr>
        <w:pStyle w:val="Heading2"/>
      </w:pPr>
      <w:r>
        <w:t xml:space="preserve">3.4 A Constituição de 1988</w:t>
      </w:r>
    </w:p>
    <w:p>
      <w:pPr>
        <w:pStyle w:val="FirstParagraph"/>
      </w:pPr>
      <w:r>
        <w:t xml:space="preserve">Promulgada em 5 de outubro de 1988, a Constituição redesenhou o sistema tributário. A doutrina constitucional tributária brasileira — de que é exemplo o</w:t>
      </w:r>
      <w:r>
        <w:t xml:space="preserve"> </w:t>
      </w:r>
      <w:r>
        <w:rPr>
          <w:i/>
          <w:iCs/>
        </w:rPr>
        <w:t xml:space="preserve">Curso de Direito Constitucional Tributário</w:t>
      </w:r>
      <w:r>
        <w:t xml:space="preserve">, de Roque Antonio Carrazza — formou-se sobre esse texto.</w:t>
      </w:r>
    </w:p>
    <w:p>
      <w:pPr>
        <w:pStyle w:val="BodyText"/>
      </w:pPr>
      <w:r>
        <w:t xml:space="preserve">Foi a última reforma de dimensão comparável à atual. Nela, o ICM transformou-se em ICMS, absorvendo bases antes sujeitas a impostos únicos federais: energia elétrica, combustíveis, minerais, transporte e comunicação.</w:t>
      </w:r>
    </w:p>
    <w:bookmarkEnd w:id="34"/>
    <w:bookmarkStart w:id="35" w:name="a-guerra-fiscal"/>
    <w:p>
      <w:pPr>
        <w:pStyle w:val="Heading2"/>
      </w:pPr>
      <w:r>
        <w:t xml:space="preserve">3.5 A guerra fiscal</w:t>
      </w:r>
    </w:p>
    <w:p>
      <w:pPr>
        <w:pStyle w:val="FirstParagraph"/>
      </w:pPr>
      <w:r>
        <w:t xml:space="preserve">Desde a LC 24/1975, benefícios de ICM e de ICMS dependem de convênio aprovado por unanimidade dos Estados no Confaz. A exigência foi sistematicamente descumprida.</w:t>
      </w:r>
    </w:p>
    <w:p>
      <w:pPr>
        <w:pStyle w:val="BodyText"/>
      </w:pPr>
      <w:r>
        <w:t xml:space="preserve">Esperava-se que o ICMS de 1988 encerrasse a disputa por investimentos. Ocorreu o contrário: nos anos 1990, Estados passaram a leiloar isenções e incentivos para atrair empresas, como na instalação de montadoras de veículos — entre elas a Renault, no Paraná.</w:t>
      </w:r>
    </w:p>
    <w:p>
      <w:pPr>
        <w:pStyle w:val="BodyText"/>
      </w:pPr>
      <w:r>
        <w:t xml:space="preserve">A LC 160/2017 autorizou a convalidação dos benefícios concedidos irregularmente, reconhecimento institucional do problema. O ICMS não eliminou a guerra fiscal; apenas mudou seu formato. O IBS, cobrado no destino e sem benefícios locais, pretende encerrá-la (item 6.2).</w:t>
      </w:r>
    </w:p>
    <w:bookmarkEnd w:id="35"/>
    <w:bookmarkEnd w:id="36"/>
    <w:bookmarkStart w:id="52" w:name="sec-cap04"/>
    <w:p>
      <w:pPr>
        <w:pStyle w:val="Heading1"/>
      </w:pPr>
      <w:r>
        <w:t xml:space="preserve">Capítulo 4 — Por que reformar: os problemas do modelo anterior</w:t>
      </w:r>
    </w:p>
    <w:p>
      <w:pPr>
        <w:pStyle w:val="FirstParagraph"/>
      </w:pPr>
      <w:r>
        <w:t xml:space="preserve">O diagnóstico é consensual: o modelo esgotou-se. Cinco tributos incidem sobre a mesma base com regras distintas, há cumulatividade residual, milhares de legislações e um contencioso estimado em 75% do PIB.</w:t>
      </w:r>
    </w:p>
    <w:p>
      <w:pPr>
        <w:pStyle w:val="BodyText"/>
      </w:pPr>
      <w:r>
        <w:t xml:space="preserve">Dois indicadores amplamente citados dimensionam o problema: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1.501 horas por ano</w:t>
      </w:r>
      <w:r>
        <w:t xml:space="preserve"> </w:t>
      </w:r>
      <w:r>
        <w:t xml:space="preserve">gastas por uma empresa média para cumprir obrigações tributárias no Brasil (Banco Mundial,</w:t>
      </w:r>
      <w:r>
        <w:t xml:space="preserve"> </w:t>
      </w:r>
      <w:r>
        <w:rPr>
          <w:i/>
          <w:iCs/>
        </w:rPr>
        <w:t xml:space="preserve">Doing Business 2020</w:t>
      </w:r>
      <w:r>
        <w:t xml:space="preserve">);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75% do PIB</w:t>
      </w:r>
      <w:r>
        <w:t xml:space="preserve"> </w:t>
      </w:r>
      <w:r>
        <w:t xml:space="preserve">em contencioso tributário em 2019 (Insper,</w:t>
      </w:r>
      <w:r>
        <w:t xml:space="preserve"> </w:t>
      </w:r>
      <w:r>
        <w:rPr>
          <w:i/>
          <w:iCs/>
        </w:rPr>
        <w:t xml:space="preserve">Contencioso Tributário no Brasil</w:t>
      </w:r>
      <w:r>
        <w:t xml:space="preserve">, 2020).</w:t>
      </w:r>
    </w:p>
    <w:bookmarkStart w:id="40" w:name="vários-tributos-sobre-a-mesma-base"/>
    <w:p>
      <w:pPr>
        <w:pStyle w:val="Heading2"/>
      </w:pPr>
      <w:r>
        <w:t xml:space="preserve">4.1 Vários tributos sobre a mesma base</w:t>
      </w:r>
    </w:p>
    <w:p>
      <w:pPr>
        <w:pStyle w:val="FirstParagraph"/>
      </w:pPr>
      <w:r>
        <w:drawing>
          <wp:inline>
            <wp:extent cx="5334000" cy="2866071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img/f02_complexidade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6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O custo da complexidade do modelo anterior.</w:t>
      </w:r>
      <w:r>
        <w:t xml:space="preserve"> </w:t>
      </w:r>
      <w:r>
        <w:t xml:space="preserve">Fonte: Banco Mundial, Doing Business 2020; Insper, Contencioso Tributário no Brasil (2020); elaboração do autor.</w:t>
      </w:r>
    </w:p>
    <w:p>
      <w:pPr>
        <w:pStyle w:val="BodyText"/>
      </w:pPr>
      <w:r>
        <w:t xml:space="preserve">Na venda de um produto industrializado, incidem ao mesmo tempo IPI, PIS, Cofins e ICMS. Na prestação de serviço, PIS, Cofins e ISS. Poucos sistemas no mundo sobrepõem tantos tributos a uma mesma operação de consumo.</w:t>
      </w:r>
    </w:p>
    <w:p>
      <w:pPr>
        <w:pStyle w:val="BodyText"/>
      </w:pPr>
      <w:r>
        <w:t xml:space="preserve">Somadas, as alíquotas formam carga elevada e pouco transparente: ICMS de 17% a 23%, PIS e Cofins de 3,65% a 9,25% e IPI variável conforme o produto.</w:t>
      </w:r>
    </w:p>
    <w:p>
      <w:pPr>
        <w:pStyle w:val="BodyText"/>
      </w:pPr>
      <w:r>
        <w:t xml:space="preserve">Nos serviços intensivos em mão de obra, a sobreposição encarece o trabalho e desestimula a contratação. O efeito alcança a própria Administração, que contrata serviços terceirizados de limpeza, manutenção e informática com esses tributos embutidos no preço.</w:t>
      </w:r>
    </w:p>
    <w:bookmarkEnd w:id="40"/>
    <w:bookmarkStart w:id="41" w:name="tributo-sobre-tributo-e-cumulatividade"/>
    <w:p>
      <w:pPr>
        <w:pStyle w:val="Heading2"/>
      </w:pPr>
      <w:r>
        <w:t xml:space="preserve">4.2 Tributo sobre tributo e cumulatividade</w:t>
      </w:r>
    </w:p>
    <w:p>
      <w:pPr>
        <w:pStyle w:val="FirstParagraph"/>
      </w:pPr>
      <w:r>
        <w:t xml:space="preserve">Os tributos entram na base de cálculo uns dos outros. O ICMS, por exemplo, integrava a base do PIS e da Cofins até o STF afastar essa inclusão (RE 574.706, Tema 69 da repercussão geral, 2017).</w:t>
      </w:r>
    </w:p>
    <w:p>
      <w:pPr>
        <w:pStyle w:val="BodyText"/>
      </w:pPr>
      <w:r>
        <w:t xml:space="preserve">Há também cumulatividade residual: o ISS não admite créditos. O dentista que utiliza material adquirido com ICMS paga ISS sobre o preço total do serviço, inclusive sobre o ICMS embutido no material.</w:t>
      </w:r>
    </w:p>
    <w:p>
      <w:pPr>
        <w:pStyle w:val="BodyText"/>
      </w:pPr>
      <w:r>
        <w:rPr>
          <w:b/>
          <w:bCs/>
        </w:rPr>
        <w:t xml:space="preserve">Exemplo — o efeito cascata.</w:t>
      </w:r>
      <w:r>
        <w:t xml:space="preserve"> </w:t>
      </w:r>
      <w:r>
        <w:t xml:space="preserve">Considere-se um tributo de 10% em três etapas, com R$ 100 de valor agregado na primeira e R$ 50 em cada uma das seguintes. No modelo cumulativo, cada etapa paga sobre todo o preço, inclusive o tributo já embutido na aquisição: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Etapa</w:t>
            </w:r>
          </w:p>
        </w:tc>
        <w:tc>
          <w:tcPr/>
          <w:p>
            <w:pPr>
              <w:pStyle w:val="Compact"/>
            </w:pPr>
            <w:r>
              <w:t xml:space="preserve">Valor agregado (R$)</w:t>
            </w:r>
          </w:p>
        </w:tc>
        <w:tc>
          <w:tcPr/>
          <w:p>
            <w:pPr>
              <w:pStyle w:val="Compact"/>
            </w:pPr>
            <w:r>
              <w:t xml:space="preserve">Base no modelo cumulativo (R$)</w:t>
            </w:r>
          </w:p>
        </w:tc>
        <w:tc>
          <w:tcPr/>
          <w:p>
            <w:pPr>
              <w:pStyle w:val="Compact"/>
            </w:pPr>
            <w:r>
              <w:t xml:space="preserve">Tributo cumulativo (R$)</w:t>
            </w:r>
          </w:p>
        </w:tc>
        <w:tc>
          <w:tcPr/>
          <w:p>
            <w:pPr>
              <w:pStyle w:val="Compact"/>
            </w:pPr>
            <w:r>
              <w:t xml:space="preserve">Tributo não cumulativo (R$)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Indústria</w:t>
            </w:r>
          </w:p>
        </w:tc>
        <w:tc>
          <w:tcPr/>
          <w:p>
            <w:pPr>
              <w:pStyle w:val="Compact"/>
            </w:pPr>
            <w:r>
              <w:t xml:space="preserve">100,00</w:t>
            </w:r>
          </w:p>
        </w:tc>
        <w:tc>
          <w:tcPr/>
          <w:p>
            <w:pPr>
              <w:pStyle w:val="Compact"/>
            </w:pPr>
            <w:r>
              <w:t xml:space="preserve">100,00</w:t>
            </w:r>
          </w:p>
        </w:tc>
        <w:tc>
          <w:tcPr/>
          <w:p>
            <w:pPr>
              <w:pStyle w:val="Compact"/>
            </w:pPr>
            <w:r>
              <w:t xml:space="preserve">10,00</w:t>
            </w:r>
          </w:p>
        </w:tc>
        <w:tc>
          <w:tcPr/>
          <w:p>
            <w:pPr>
              <w:pStyle w:val="Compact"/>
            </w:pPr>
            <w:r>
              <w:t xml:space="preserve">10,00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Atacado</w:t>
            </w:r>
          </w:p>
        </w:tc>
        <w:tc>
          <w:tcPr/>
          <w:p>
            <w:pPr>
              <w:pStyle w:val="Compact"/>
            </w:pPr>
            <w:r>
              <w:t xml:space="preserve">50,00</w:t>
            </w:r>
          </w:p>
        </w:tc>
        <w:tc>
          <w:tcPr/>
          <w:p>
            <w:pPr>
              <w:pStyle w:val="Compact"/>
            </w:pPr>
            <w:r>
              <w:t xml:space="preserve">160,00</w:t>
            </w:r>
          </w:p>
        </w:tc>
        <w:tc>
          <w:tcPr/>
          <w:p>
            <w:pPr>
              <w:pStyle w:val="Compact"/>
            </w:pPr>
            <w:r>
              <w:t xml:space="preserve">16,00</w:t>
            </w:r>
          </w:p>
        </w:tc>
        <w:tc>
          <w:tcPr/>
          <w:p>
            <w:pPr>
              <w:pStyle w:val="Compact"/>
            </w:pPr>
            <w:r>
              <w:t xml:space="preserve">5,00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Varejo</w:t>
            </w:r>
          </w:p>
        </w:tc>
        <w:tc>
          <w:tcPr/>
          <w:p>
            <w:pPr>
              <w:pStyle w:val="Compact"/>
            </w:pPr>
            <w:r>
              <w:t xml:space="preserve">50,00</w:t>
            </w:r>
          </w:p>
        </w:tc>
        <w:tc>
          <w:tcPr/>
          <w:p>
            <w:pPr>
              <w:pStyle w:val="Compact"/>
            </w:pPr>
            <w:r>
              <w:t xml:space="preserve">226,00</w:t>
            </w:r>
          </w:p>
        </w:tc>
        <w:tc>
          <w:tcPr/>
          <w:p>
            <w:pPr>
              <w:pStyle w:val="Compact"/>
            </w:pPr>
            <w:r>
              <w:t xml:space="preserve">22,60</w:t>
            </w:r>
          </w:p>
        </w:tc>
        <w:tc>
          <w:tcPr/>
          <w:p>
            <w:pPr>
              <w:pStyle w:val="Compact"/>
            </w:pPr>
            <w:r>
              <w:t xml:space="preserve">5,00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200,00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48,60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20,00</w:t>
            </w:r>
          </w:p>
        </w:tc>
      </w:tr>
    </w:tbl>
    <w:p>
      <w:pPr>
        <w:pStyle w:val="BodyText"/>
      </w:pPr>
      <w:r>
        <w:t xml:space="preserve">Com a mesma alíquota nominal, o modelo cumulativo arrecada R$ 48,60 sobre R$ 200 de valor agregado — carga efetiva de 24,3%. O não cumulativo arrecada R$ 20,00, exatamente 10%. Quanto mais longa a cadeia, maior a distorção, o que estimula a verticalização artificial das empresas.</w:t>
      </w:r>
    </w:p>
    <w:bookmarkEnd w:id="41"/>
    <w:bookmarkStart w:id="43" w:name="complexidade-normativa"/>
    <w:p>
      <w:pPr>
        <w:pStyle w:val="Heading2"/>
      </w:pPr>
      <w:r>
        <w:t xml:space="preserve">4.3 Complexidade normativa</w:t>
      </w:r>
    </w:p>
    <w:p>
      <w:pPr>
        <w:pStyle w:val="FirstParagraph"/>
      </w:pPr>
      <w:r>
        <w:t xml:space="preserve">Há 27 legislações de ICMS (26 Estados e o Distrito Federal) e cerca de 5.570 de ISS — em tese, porque há Municípios sem lei ou sem cobrança efetiva. Somam-se a elas as normas federais de IPI, PIS e Cofins.</w:t>
      </w:r>
    </w:p>
    <w:p>
      <w:pPr>
        <w:pStyle w:val="BodyText"/>
      </w:pPr>
      <w:r>
        <w:t xml:space="preserve">O IPI é seletivo em função da essencialidade (CF, art. 153, § 3º, I). Como a essencialidade não tem critério objetivo, as alíquotas da TIPI são definidas caso a caso, em tabela extensa. A classificação do produto passa a decidir a carga e torna-se objeto de planejamento e de litígio.</w:t>
      </w:r>
    </w:p>
    <w:p>
      <w:pPr>
        <w:pStyle w:val="BodyText"/>
      </w:pPr>
      <w:r>
        <w:t xml:space="preserve">Dois exemplos ilustram o fenômeno:</w:t>
      </w:r>
    </w:p>
    <w:p>
      <w:pPr>
        <w:pStyle w:val="Compact"/>
        <w:numPr>
          <w:ilvl w:val="0"/>
          <w:numId w:val="1010"/>
        </w:numPr>
      </w:pPr>
      <w:r>
        <w:t xml:space="preserve">confeitos foram reformulados para deixar de ser</w:t>
      </w:r>
      <w:r>
        <w:t xml:space="preserve"> </w:t>
      </w:r>
      <w:r>
        <w:t xml:space="preserve">“chocolate”</w:t>
      </w:r>
      <w:r>
        <w:t xml:space="preserve"> </w:t>
      </w:r>
      <w:r>
        <w:t xml:space="preserve">e passar a</w:t>
      </w:r>
      <w:r>
        <w:t xml:space="preserve"> </w:t>
      </w:r>
      <w:r>
        <w:t xml:space="preserve">“wafer”</w:t>
      </w:r>
      <w:r>
        <w:t xml:space="preserve">, posição com alíquota menor na tabela;</w:t>
      </w:r>
    </w:p>
    <w:p>
      <w:pPr>
        <w:pStyle w:val="Compact"/>
        <w:numPr>
          <w:ilvl w:val="0"/>
          <w:numId w:val="1010"/>
        </w:numPr>
      </w:pPr>
      <w:r>
        <w:t xml:space="preserve">uma rede de</w:t>
      </w:r>
      <w:r>
        <w:t xml:space="preserve"> </w:t>
      </w:r>
      <w:r>
        <w:rPr>
          <w:i/>
          <w:iCs/>
        </w:rPr>
        <w:t xml:space="preserve">fast food</w:t>
      </w:r>
      <w:r>
        <w:t xml:space="preserve"> </w:t>
      </w:r>
      <w:r>
        <w:t xml:space="preserve">sustentou que casquinhas, sundaes e milk-shakes seriam</w:t>
      </w:r>
      <w:r>
        <w:t xml:space="preserve"> </w:t>
      </w:r>
      <w:r>
        <w:t xml:space="preserve">“bebidas lácteas”</w:t>
      </w:r>
      <w:r>
        <w:t xml:space="preserve">, com alíquota zero de PIS e Cofins, e não</w:t>
      </w:r>
      <w:r>
        <w:t xml:space="preserve"> </w:t>
      </w:r>
      <w:r>
        <w:t xml:space="preserve">“gelados comestíveis”</w:t>
      </w:r>
      <w:r>
        <w:t xml:space="preserve">. A Receita Federal lavrou autuação de R$ 324,3 milhões; em dezembro de 2025, o CARF anulou a decisão de primeira instância por falhas na análise das provas, e o caso recomeçou (</w:t>
      </w:r>
      <w:hyperlink r:id="rId42">
        <w:r>
          <w:rPr>
            <w:rStyle w:val="Hyperlink"/>
          </w:rPr>
          <w:t xml:space="preserve">Contábeis, 2026</w:t>
        </w:r>
      </w:hyperlink>
      <w:r>
        <w:t xml:space="preserve">).</w:t>
      </w:r>
    </w:p>
    <w:p>
      <w:pPr>
        <w:pStyle w:val="FirstParagraph"/>
      </w:pPr>
      <w:r>
        <w:t xml:space="preserve">Cada disputa dessas consome anos de processo administrativo e judicial, com custos para ambos os lados.</w:t>
      </w:r>
    </w:p>
    <w:bookmarkEnd w:id="43"/>
    <w:bookmarkStart w:id="44" w:name="regimes-de-crédito-heterogêneos"/>
    <w:p>
      <w:pPr>
        <w:pStyle w:val="Heading2"/>
      </w:pPr>
      <w:r>
        <w:t xml:space="preserve">4.4 Regimes de crédito heterogêneos</w:t>
      </w:r>
    </w:p>
    <w:p>
      <w:pPr>
        <w:pStyle w:val="FirstParagraph"/>
      </w:pPr>
      <w:r>
        <w:t xml:space="preserve">IPI, ICMS, PIS e Cofins são não cumulativos, mas cada um com regra própria sobre o que gera crédito. A mesma aquisição pode gerar crédito de um tributo e não de outro. A apuração torna-se difícil, e o erro gera autuação.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Lei Kandir.</w:t>
      </w:r>
      <w:r>
        <w:t xml:space="preserve"> </w:t>
      </w:r>
      <w:r>
        <w:t xml:space="preserve">A LC 87/1996 previu crédito de ICMS sobre bens de uso e consumo do estabelecimento, com eficácia diferida. O prazo foi sucessivamente prorrogado e hoje está fixado, pela LC 171/2019, em 1º de janeiro de 2033 — ano em que o ICMS deixa de existir. O crédito amplo de energia elétrica e de comunicação, restrito pela LC 102/2000, segue a mesma data (LC 87/1996, art. 33).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Crédito físico do IPI.</w:t>
      </w:r>
      <w:r>
        <w:t xml:space="preserve"> </w:t>
      </w:r>
      <w:r>
        <w:t xml:space="preserve">Discutiu-se por anos se lixas e lâminas consumidas no beneficiamento da madeira geravam crédito, já que não integram o produto final. A solução exigiu perícia para demonstrar que o desgaste ocorria em contato direto com o produto.</w:t>
      </w:r>
    </w:p>
    <w:p>
      <w:pPr>
        <w:pStyle w:val="FirstParagraph"/>
      </w:pPr>
      <w:r>
        <w:t xml:space="preserve">Perguntas como</w:t>
      </w:r>
      <w:r>
        <w:t xml:space="preserve"> </w:t>
      </w:r>
      <w:r>
        <w:t xml:space="preserve">“a lixa dá crédito?”</w:t>
      </w:r>
      <w:r>
        <w:t xml:space="preserve"> </w:t>
      </w:r>
      <w:r>
        <w:t xml:space="preserve">ou</w:t>
      </w:r>
      <w:r>
        <w:t xml:space="preserve"> </w:t>
      </w:r>
      <w:r>
        <w:t xml:space="preserve">“o óleo lubrificante da máquina dá crédito?”</w:t>
      </w:r>
      <w:r>
        <w:t xml:space="preserve"> </w:t>
      </w:r>
      <w:r>
        <w:t xml:space="preserve">multiplicaram-se por todos os insumos de todos os setores.</w:t>
      </w:r>
    </w:p>
    <w:bookmarkEnd w:id="44"/>
    <w:bookmarkStart w:id="45" w:name="obrigações-acessórias-em-excesso"/>
    <w:p>
      <w:pPr>
        <w:pStyle w:val="Heading2"/>
      </w:pPr>
      <w:r>
        <w:t xml:space="preserve">4.5 Obrigações acessórias em excesso</w:t>
      </w:r>
    </w:p>
    <w:p>
      <w:pPr>
        <w:pStyle w:val="FirstParagraph"/>
      </w:pPr>
      <w:r>
        <w:t xml:space="preserve">Obrigações acessórias são os deveres que acompanham o pagamento: emitir notas, escriturar livros, entregar declarações, manter cadastros. Cada um dos cinco tributos tem as suas.</w:t>
      </w:r>
    </w:p>
    <w:p>
      <w:pPr>
        <w:pStyle w:val="BodyText"/>
      </w:pPr>
      <w:r>
        <w:t xml:space="preserve">O resultado são as 1.501 horas anuais medidas pelo Banco Mundial. Em debates empresariais, é recorrente o relato de multinacionais que mantinham equipe fiscal de cinco pessoas na China e de quarenta no Brasil, para operações de porte equivalente.</w:t>
      </w:r>
    </w:p>
    <w:bookmarkEnd w:id="45"/>
    <w:bookmarkStart w:id="48" w:name="Xc8e658d5434d73ab980b4f94dd6db80652336df"/>
    <w:p>
      <w:pPr>
        <w:pStyle w:val="Heading2"/>
      </w:pPr>
      <w:r>
        <w:t xml:space="preserve">4.6 Guerra fiscal entre Estados e entre Municípios</w:t>
      </w:r>
    </w:p>
    <w:p>
      <w:pPr>
        <w:pStyle w:val="FirstParagraph"/>
      </w:pPr>
      <w:r>
        <w:t xml:space="preserve">Entre os Estados, a guerra fiscal do ICMS foi descrita no item 3.5. Entre os Municípios, ela ocorre no ISS: Municípios atraem prestadores com alíquotas reduzidas, como no conflito judicializado entre São Paulo e Santana de Parnaíba.</w:t>
      </w:r>
    </w:p>
    <w:p>
      <w:pPr>
        <w:pStyle w:val="BodyText"/>
      </w:pPr>
      <w:r>
        <w:t xml:space="preserve">O piso de 2% (ADCT, art. 88; LC 116/2003, art. 8º-A) limitou a disputa, mas não a eliminou. Persiste, porém, a diferença entre o piso de 2% e o teto de 5%, e Municípios vizinhos, de uma mesma região metropolitana, podem adotar alíquotas muito distintas, o que preserva o incentivo à mudança formal de sede.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home/claude/.local/quarto/share/formats/docx/note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Reflexo prático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transferência formal da sede para Município de alíquota menor, mantida a prestação a partir de outro Município, não altera o local de incidência: o ISS é devido no estabelecimento prestador, independentemente da denominação adotada (LC 116/2003, art. 4º). A fiscalização autua esses casos, e o contencioso chega às procuradorias.</w:t>
            </w:r>
          </w:p>
          <w:p/>
        </w:tc>
      </w:tr>
    </w:tbl>
    <w:bookmarkEnd w:id="48"/>
    <w:bookmarkStart w:id="49" w:name="X343af9a0b333ac91560a7e2004bd2686ae4b1b1"/>
    <w:p>
      <w:pPr>
        <w:pStyle w:val="Heading2"/>
      </w:pPr>
      <w:r>
        <w:t xml:space="preserve">4.7 Lançamento por homologação e insegurança jurídica</w:t>
      </w:r>
    </w:p>
    <w:p>
      <w:pPr>
        <w:pStyle w:val="FirstParagraph"/>
      </w:pPr>
      <w:r>
        <w:t xml:space="preserve">Os cinco tributos sujeitam-se ao lançamento por homologação (CTN, art. 150). O próprio contribuinte apura e paga, sem exame prévio do Fisco, que tem, em regra, cinco anos para revisar a apuração (art. 150, § 4º).</w:t>
      </w:r>
    </w:p>
    <w:p>
      <w:pPr>
        <w:pStyle w:val="BodyText"/>
      </w:pPr>
      <w:r>
        <w:t xml:space="preserve">O contribuinte nunca sabe, portanto, se está regular. Anos depois, pode receber auto de infração com correção, juros e multa, formando passivos de grande valor.</w:t>
      </w:r>
    </w:p>
    <w:p>
      <w:pPr>
        <w:pStyle w:val="BodyText"/>
      </w:pPr>
      <w:r>
        <w:t xml:space="preserve">A insegurança alimenta o contencioso, que alcançou 75% do PIB em 2019, segundo o Insper. Boa parte da advocacia tributária vive desse litígio.</w:t>
      </w:r>
    </w:p>
    <w:bookmarkEnd w:id="49"/>
    <w:bookmarkStart w:id="51" w:name="regressividade"/>
    <w:p>
      <w:pPr>
        <w:pStyle w:val="Heading2"/>
      </w:pPr>
      <w:r>
        <w:t xml:space="preserve">4.8 Regressividade</w:t>
      </w:r>
    </w:p>
    <w:p>
      <w:pPr>
        <w:pStyle w:val="FirstParagraph"/>
      </w:pPr>
      <w:r>
        <w:t xml:space="preserve">A tributação do consumo pesa mais sobre quem ganha menos. As famílias de baixa renda consomem toda a renda; as de alta renda poupam parte dela, que não sofre tributação sobre o consumo.</w:t>
      </w:r>
    </w:p>
    <w:p>
      <w:pPr>
        <w:pStyle w:val="BodyText"/>
      </w:pPr>
      <w:r>
        <w:t xml:space="preserve">Com dados de 2008, o Ipea estimou que famílias com renda de até dois salários mínimos destinavam 53,9% da renda a tributos, contra 29% das famílias com renda superior a 30 salários mínimos (</w:t>
      </w:r>
      <w:hyperlink r:id="rId50">
        <w:r>
          <w:rPr>
            <w:rStyle w:val="Hyperlink"/>
          </w:rPr>
          <w:t xml:space="preserve">Jornal do Brasil, 2009</w:t>
        </w:r>
      </w:hyperlink>
      <w:r>
        <w:t xml:space="preserve">). O sistema era regressivo, e não progressivo.</w:t>
      </w:r>
    </w:p>
    <w:p>
      <w:pPr>
        <w:pStyle w:val="BodyText"/>
      </w:pPr>
      <w:r>
        <w:t xml:space="preserve">A EC 132/2023 incorporou à Constituição o dever de atenuar efeitos regressivos (art. 145, § 4º). A principal resposta é a devolução personalizada, o</w:t>
      </w:r>
      <w:r>
        <w:t xml:space="preserve"> </w:t>
      </w:r>
      <w:r>
        <w:rPr>
          <w:i/>
          <w:iCs/>
        </w:rPr>
        <w:t xml:space="preserve">cashback</w:t>
      </w:r>
      <w:r>
        <w:t xml:space="preserve"> </w:t>
      </w:r>
      <w:r>
        <w:t xml:space="preserve">(item 6.4).</w:t>
      </w:r>
    </w:p>
    <w:bookmarkEnd w:id="51"/>
    <w:bookmarkEnd w:id="52"/>
    <w:bookmarkStart w:id="64" w:name="sec-cap05"/>
    <w:p>
      <w:pPr>
        <w:pStyle w:val="Heading1"/>
      </w:pPr>
      <w:r>
        <w:t xml:space="preserve">Capítulo 5 — O novo modelo: IVA dual, CBS, IBS e Imposto Seletivo</w:t>
      </w:r>
    </w:p>
    <w:p>
      <w:pPr>
        <w:pStyle w:val="FirstParagraph"/>
      </w:pPr>
      <w:r>
        <w:t xml:space="preserve">A EC 132/2023 substitui cinco tributos por dois tributos sobre o valor agregado, de base idêntica — a CBS, federal, e o IBS, de Estados e Municípios —, e cria o Imposto Seletivo. O objetivo é simplificar sem reduzir a arrecadação.</w:t>
      </w:r>
    </w:p>
    <w:p>
      <w:pPr>
        <w:pStyle w:val="BodyText"/>
      </w:pPr>
      <w:r>
        <w:drawing>
          <wp:inline>
            <wp:extent cx="5334000" cy="2866071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img/f03_fusao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6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Cinco tributos viram um IVA dual.</w:t>
      </w:r>
      <w:r>
        <w:t xml:space="preserve"> </w:t>
      </w:r>
      <w:r>
        <w:t xml:space="preserve">Fonte: EC 132/2023, ADCT, arts. 126 a 129; elaboração do autor.</w:t>
      </w:r>
    </w:p>
    <w:p>
      <w:pPr>
        <w:pStyle w:val="BodyText"/>
      </w:pPr>
      <w:r>
        <w:t xml:space="preserve">PIS e Cofins dão lugar à CBS; o IPI é zerado, e sua receita é reposta pela CBS e pelo Imposto Seletivo; ICMS e ISS dão lugar ao IBS.</w:t>
      </w:r>
    </w:p>
    <w:bookmarkStart w:id="56" w:name="X9456233bd64a0baeca6202fa25b6c8d439a4f86"/>
    <w:p>
      <w:pPr>
        <w:pStyle w:val="Heading2"/>
      </w:pPr>
      <w:r>
        <w:t xml:space="preserve">5.1 Pressupostos: neutralidade arrecadatória e simplicidade</w:t>
      </w:r>
    </w:p>
    <w:p>
      <w:pPr>
        <w:pStyle w:val="FirstParagraph"/>
      </w:pPr>
      <w:r>
        <w:t xml:space="preserve">A reforma não promete reduzir a carga. As alíquotas de referência são calibradas para repor a receita dos tributos extintos (ADCT, art. 130). Há, porém, travas contra o aumento:</w:t>
      </w:r>
    </w:p>
    <w:p>
      <w:pPr>
        <w:pStyle w:val="Compact"/>
        <w:numPr>
          <w:ilvl w:val="0"/>
          <w:numId w:val="1012"/>
        </w:numPr>
      </w:pPr>
      <w:r>
        <w:t xml:space="preserve">tetos de referência baseados na média da arrecadação de 2012 a 2021, com redução obrigatória das alíquotas se forem superados (ADCT, art. 130, §§ 3º a 6º);</w:t>
      </w:r>
    </w:p>
    <w:p>
      <w:pPr>
        <w:pStyle w:val="Compact"/>
        <w:numPr>
          <w:ilvl w:val="0"/>
          <w:numId w:val="1012"/>
        </w:numPr>
      </w:pPr>
      <w:r>
        <w:t xml:space="preserve">o limite de 26,5% para a soma das alíquotas de referência, cuja superação obriga o Poder Executivo a propor medidas de redução (LC 214/2025).</w:t>
      </w:r>
    </w:p>
    <w:p>
      <w:pPr>
        <w:pStyle w:val="FirstParagraph"/>
      </w:pPr>
      <w:r>
        <w:t xml:space="preserve">A vantagem prometida ao contribuinte é a simplicidade. A carga tende a permanecer a mesma; o custo de cumpri-la — contadores, sistemas, consultoria e litígio — tende a cair.</w:t>
      </w:r>
    </w:p>
    <w:p>
      <w:pPr>
        <w:pStyle w:val="BodyText"/>
      </w:pPr>
      <w:r>
        <w:t xml:space="preserve">A EC 132/2023 explicitou os princípios do sistema: simplicidade, transparência, justiça tributária, cooperação e defesa do meio ambiente (CF, art. 145, § 3º). O IBS e a CBS orientam-se ainda pela neutralidade: não devem distorcer decisões de consumo nem a organização das empresas (CF, art. 156-A, § 1º; LC 214/2025, art. 2º).</w:t>
      </w:r>
    </w:p>
    <w:bookmarkEnd w:id="56"/>
    <w:bookmarkStart w:id="57" w:name="o-que-é-um-iva"/>
    <w:p>
      <w:pPr>
        <w:pStyle w:val="Heading2"/>
      </w:pPr>
      <w:r>
        <w:t xml:space="preserve">5.2 O que é um IVA</w:t>
      </w:r>
    </w:p>
    <w:p>
      <w:pPr>
        <w:pStyle w:val="FirstParagraph"/>
      </w:pPr>
      <w:r>
        <w:t xml:space="preserve">IVA é a sigla de imposto sobre o valor agregado — em inglês,</w:t>
      </w:r>
      <w:r>
        <w:t xml:space="preserve"> </w:t>
      </w:r>
      <w:r>
        <w:rPr>
          <w:i/>
          <w:iCs/>
        </w:rPr>
        <w:t xml:space="preserve">value added tax</w:t>
      </w:r>
      <w:r>
        <w:t xml:space="preserve"> </w:t>
      </w:r>
      <w:r>
        <w:t xml:space="preserve">(VAT); na França, TVA. É o modelo predominante de tributação do consumo no mundo e o adotado por vizinhos como Argentina, Paraguai e Uruguai.</w:t>
      </w:r>
    </w:p>
    <w:p>
      <w:pPr>
        <w:pStyle w:val="BodyText"/>
      </w:pPr>
      <w:r>
        <w:t xml:space="preserve">Sua ideia central é tributar, em cada etapa, apenas o valor que ela acrescentou. Se uma empresa gasta R$ 1.000 em insumos e vende o produto por R$ 2.000, o imposto alcança os R$ 1.000 agregados.</w:t>
      </w:r>
    </w:p>
    <w:p>
      <w:pPr>
        <w:pStyle w:val="BodyText"/>
      </w:pPr>
      <w:r>
        <w:t xml:space="preserve">A técnica usual é o crédito do imposto: em cada venda, o imposto devido é abatido do imposto pago nas aquisições (item 6.1).</w:t>
      </w:r>
    </w:p>
    <w:bookmarkEnd w:id="57"/>
    <w:bookmarkStart w:id="58" w:name="iva-dual-ou-triplo"/>
    <w:p>
      <w:pPr>
        <w:pStyle w:val="Heading2"/>
      </w:pPr>
      <w:r>
        <w:t xml:space="preserve">5.3 IVA dual — ou</w:t>
      </w:r>
      <w:r>
        <w:t xml:space="preserve"> </w:t>
      </w:r>
      <w:r>
        <w:t xml:space="preserve">“triplo”</w:t>
      </w:r>
      <w:r>
        <w:t xml:space="preserve">?</w:t>
      </w:r>
    </w:p>
    <w:p>
      <w:pPr>
        <w:pStyle w:val="FirstParagraph"/>
      </w:pPr>
      <w:r>
        <w:t xml:space="preserve">Na maior parte da Europa, Estados unitários aplicam um IVA único em todo o território. Na Alemanha, federação, a lei do imposto é federal e a receita é partilhada entre os níveis de governo.</w:t>
      </w:r>
    </w:p>
    <w:p>
      <w:pPr>
        <w:pStyle w:val="BodyText"/>
      </w:pPr>
      <w:r>
        <w:t xml:space="preserve">No Brasil, a fusão em tributo único esbarrou na autonomia federativa. Estados e Municípios recusaram depender de repasses da União para receber sua receita, sem poder arrecadar, fiscalizar ou lançar.</w:t>
      </w:r>
    </w:p>
    <w:p>
      <w:pPr>
        <w:pStyle w:val="BodyText"/>
      </w:pPr>
      <w:r>
        <w:t xml:space="preserve">A solução foi o IVA dual, com precedentes em federações como Canadá e Índia: dois tributos sobre a mesma base. Em rigor, três esferas partilham essa base — a União na CBS, Estados e Municípios no IBS —, razão pela qual se fala, com alguma ironia, em IVA</w:t>
      </w:r>
      <w:r>
        <w:t xml:space="preserve"> </w:t>
      </w:r>
      <w:r>
        <w:t xml:space="preserve">“triplo”</w:t>
      </w:r>
      <w:r>
        <w:t xml:space="preserve">.</w:t>
      </w:r>
    </w:p>
    <w:p>
      <w:pPr>
        <w:pStyle w:val="BodyText"/>
      </w:pPr>
      <w:r>
        <w:t xml:space="preserve">Há também reserva quanto ao próprio rótulo. Sustenta-se, na linha adotada neste manual, que o modelo brasileiro se aproxima mais, na forma de cobrança, dos tributos que substitui do que do IVA europeu, sendo a designação</w:t>
      </w:r>
      <w:r>
        <w:t xml:space="preserve"> </w:t>
      </w:r>
      <w:r>
        <w:t xml:space="preserve">“IVA”</w:t>
      </w:r>
      <w:r>
        <w:t xml:space="preserve"> </w:t>
      </w:r>
      <w:r>
        <w:t xml:space="preserve">sobretudo convencional.</w:t>
      </w:r>
    </w:p>
    <w:p>
      <w:pPr>
        <w:pStyle w:val="BodyText"/>
      </w:pPr>
      <w:r>
        <w:t xml:space="preserve">Em sentido contrário, observa-se que o método de crédito do imposto é o mesmo da Diretiva europeia do IVA (2006/112/CE). As diferenças estariam na repartição federativa e no número de regimes diferenciados.</w:t>
      </w:r>
    </w:p>
    <w:bookmarkEnd w:id="58"/>
    <w:bookmarkStart w:id="59" w:name="cbs-e-ibs-tributos-gêmeos"/>
    <w:p>
      <w:pPr>
        <w:pStyle w:val="Heading2"/>
      </w:pPr>
      <w:r>
        <w:t xml:space="preserve">5.4 CBS e IBS: tributos gêmeos</w:t>
      </w:r>
    </w:p>
    <w:p>
      <w:pPr>
        <w:pStyle w:val="FirstParagraph"/>
      </w:pPr>
      <w:r>
        <w:t xml:space="preserve">CBS e IBS observam as mesmas regras sobre fatos geradores, bases de cálculo, hipóteses de não incidência, sujeitos passivos, imunidades, regimes diferenciados e não cumulatividade (CF, art. 149-B). São tributos gêmeos.</w:t>
      </w:r>
    </w:p>
    <w:p>
      <w:pPr>
        <w:pStyle w:val="BodyText"/>
      </w:pPr>
      <w:r>
        <w:t xml:space="preserve">A imagem é a dos automóveis gêmeos da Autolatina, associação entre Ford e Volkswagen nos anos 1990: o Ford Verona e o Volkswagen Apollo tinham marca e acabamento distintos, mas o mesmo motor. Abre-se o capô de CBS e IBS e encontra-se o mesmo mecanismo.</w:t>
      </w:r>
    </w:p>
    <w:p>
      <w:pPr>
        <w:pStyle w:val="BodyText"/>
      </w:pPr>
      <w:r>
        <w:t xml:space="preserve">Consequência prática: onde houver CBS, haverá IBS, e vice-versa. Uma fiscalização de um tributo tende a alcançar o outro. As diferenças estão na titularidade e na administração: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Aspecto</w:t>
            </w:r>
          </w:p>
        </w:tc>
        <w:tc>
          <w:tcPr/>
          <w:p>
            <w:pPr>
              <w:pStyle w:val="Compact"/>
            </w:pPr>
            <w:r>
              <w:t xml:space="preserve">CBS</w:t>
            </w:r>
          </w:p>
        </w:tc>
        <w:tc>
          <w:tcPr/>
          <w:p>
            <w:pPr>
              <w:pStyle w:val="Compact"/>
            </w:pPr>
            <w:r>
              <w:t xml:space="preserve">IBS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Espécie</w:t>
            </w:r>
          </w:p>
        </w:tc>
        <w:tc>
          <w:tcPr/>
          <w:p>
            <w:pPr>
              <w:pStyle w:val="Compact"/>
            </w:pPr>
            <w:r>
              <w:t xml:space="preserve">Contribuição social (CF, art. 195, V)</w:t>
            </w:r>
          </w:p>
        </w:tc>
        <w:tc>
          <w:tcPr/>
          <w:p>
            <w:pPr>
              <w:pStyle w:val="Compact"/>
            </w:pPr>
            <w:r>
              <w:t xml:space="preserve">Imposto (CF, art. 156-A)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Competência</w:t>
            </w:r>
          </w:p>
        </w:tc>
        <w:tc>
          <w:tcPr/>
          <w:p>
            <w:pPr>
              <w:pStyle w:val="Compact"/>
            </w:pPr>
            <w:r>
              <w:t xml:space="preserve">União</w:t>
            </w:r>
          </w:p>
        </w:tc>
        <w:tc>
          <w:tcPr/>
          <w:p>
            <w:pPr>
              <w:pStyle w:val="Compact"/>
            </w:pPr>
            <w:r>
              <w:t xml:space="preserve">Compartilhada entre Estados, DF e Municípios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Alíquota</w:t>
            </w:r>
          </w:p>
        </w:tc>
        <w:tc>
          <w:tcPr/>
          <w:p>
            <w:pPr>
              <w:pStyle w:val="Compact"/>
            </w:pPr>
            <w:r>
              <w:t xml:space="preserve">Fixada em lei federal</w:t>
            </w:r>
          </w:p>
        </w:tc>
        <w:tc>
          <w:tcPr/>
          <w:p>
            <w:pPr>
              <w:pStyle w:val="Compact"/>
            </w:pPr>
            <w:r>
              <w:t xml:space="preserve">Cada ente fixa a sua; aplica-se a soma das alíquotas do Estado e do Município de destino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Administração</w:t>
            </w:r>
          </w:p>
        </w:tc>
        <w:tc>
          <w:tcPr/>
          <w:p>
            <w:pPr>
              <w:pStyle w:val="Compact"/>
            </w:pPr>
            <w:r>
              <w:t xml:space="preserve">Receita Federal</w:t>
            </w:r>
          </w:p>
        </w:tc>
        <w:tc>
          <w:tcPr/>
          <w:p>
            <w:pPr>
              <w:pStyle w:val="Compact"/>
            </w:pPr>
            <w:r>
              <w:t xml:space="preserve">Comitê Gestor (CGIBS), com fiscalização, lançamento e cobrança pelos entes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Receita</w:t>
            </w:r>
          </w:p>
        </w:tc>
        <w:tc>
          <w:tcPr/>
          <w:p>
            <w:pPr>
              <w:pStyle w:val="Compact"/>
            </w:pPr>
            <w:r>
              <w:t xml:space="preserve">União</w:t>
            </w:r>
          </w:p>
        </w:tc>
        <w:tc>
          <w:tcPr/>
          <w:p>
            <w:pPr>
              <w:pStyle w:val="Compact"/>
            </w:pPr>
            <w:r>
              <w:t xml:space="preserve">Estados, DF e Municípios de destino</w:t>
            </w:r>
          </w:p>
        </w:tc>
      </w:tr>
    </w:tbl>
    <w:p>
      <w:pPr>
        <w:pStyle w:val="BodyText"/>
      </w:pPr>
      <w:r>
        <w:t xml:space="preserve">Para o contribuinte, o resultado é um único fato gerador, uma única base e um único documento fiscal para os dois tributos.</w:t>
      </w:r>
    </w:p>
    <w:bookmarkEnd w:id="59"/>
    <w:bookmarkStart w:id="60" w:name="fato-gerador-e-base-de-incidência"/>
    <w:p>
      <w:pPr>
        <w:pStyle w:val="Heading2"/>
      </w:pPr>
      <w:r>
        <w:t xml:space="preserve">5.5 Fato gerador e base de incidência</w:t>
      </w:r>
    </w:p>
    <w:p>
      <w:pPr>
        <w:pStyle w:val="FirstParagraph"/>
      </w:pPr>
      <w:r>
        <w:t xml:space="preserve">O IBS e a CBS incidem sobre operações onerosas com bens ou com serviços (LC 214/2025, art. 4º). A fórmula substitui os cinco fatos geradores anteriores.</w:t>
      </w:r>
    </w:p>
    <w:p>
      <w:pPr>
        <w:pStyle w:val="BodyText"/>
      </w:pPr>
      <w:r>
        <w:t xml:space="preserve">O conceito de bem é amplo: móveis ou imóveis, materiais ou imateriais, inclusive direitos; a energia com valor econômico equipara-se a bem material. Serviço é tudo o que não for operação com bens (art. 3º). Assim:</w:t>
      </w:r>
    </w:p>
    <w:p>
      <w:pPr>
        <w:pStyle w:val="Compact"/>
        <w:numPr>
          <w:ilvl w:val="0"/>
          <w:numId w:val="1013"/>
        </w:numPr>
      </w:pPr>
      <w:r>
        <w:t xml:space="preserve">a consulta ao dentista é serviço;</w:t>
      </w:r>
    </w:p>
    <w:p>
      <w:pPr>
        <w:pStyle w:val="Compact"/>
        <w:numPr>
          <w:ilvl w:val="0"/>
          <w:numId w:val="1013"/>
        </w:numPr>
      </w:pPr>
      <w:r>
        <w:t xml:space="preserve">o pacote de biscoitos é bem;</w:t>
      </w:r>
    </w:p>
    <w:p>
      <w:pPr>
        <w:pStyle w:val="Compact"/>
        <w:numPr>
          <w:ilvl w:val="0"/>
          <w:numId w:val="1013"/>
        </w:numPr>
      </w:pPr>
      <w:r>
        <w:t xml:space="preserve">a energia elétrica é bem;</w:t>
      </w:r>
    </w:p>
    <w:p>
      <w:pPr>
        <w:pStyle w:val="Compact"/>
        <w:numPr>
          <w:ilvl w:val="0"/>
          <w:numId w:val="1013"/>
        </w:numPr>
      </w:pPr>
      <w:r>
        <w:t xml:space="preserve">a telefonia é serviço.</w:t>
      </w:r>
    </w:p>
    <w:p>
      <w:pPr>
        <w:pStyle w:val="FirstParagraph"/>
      </w:pPr>
      <w:r>
        <w:t xml:space="preserve">São irrelevantes a obtenção de lucro, a forma jurídica do negócio e a habitualidade (art. 4º, §§ 3º e 4º). Encerra-se, por exemplo, a discussão sobre associações sem fins lucrativos que vendem serviços a associados — como entidades que revendiam consultas a cadastros de crédito.</w:t>
      </w:r>
    </w:p>
    <w:p>
      <w:pPr>
        <w:pStyle w:val="BodyText"/>
      </w:pPr>
      <w:r>
        <w:t xml:space="preserve">Operações não onerosas são tributadas apenas nas hipóteses expressas (art. 5º): fornecimentos gratuitos a sócios, administradores, empregados e parentes, brindes e bonificações, e operações abaixo do valor de mercado entre partes relacionadas.</w:t>
      </w:r>
    </w:p>
    <w:p>
      <w:pPr>
        <w:pStyle w:val="BodyText"/>
      </w:pPr>
      <w:r>
        <w:t xml:space="preserve">Antes, a primeira pergunta do consultor tributário era: qual é o produto? A resposta definia os tributos incidentes, as alíquotas e o risco. No novo modelo, qualquer operação onerosa com bem ou serviço sujeita-se ao IBS e à CBS; a classificação volta a importar apenas para os regimes diferenciados (item 9.2).</w:t>
      </w:r>
    </w:p>
    <w:bookmarkEnd w:id="60"/>
    <w:bookmarkStart w:id="61" w:name="o-imposto-seletivo"/>
    <w:p>
      <w:pPr>
        <w:pStyle w:val="Heading2"/>
      </w:pPr>
      <w:r>
        <w:t xml:space="preserve">5.6 O Imposto Seletivo</w:t>
      </w:r>
    </w:p>
    <w:p>
      <w:pPr>
        <w:pStyle w:val="FirstParagraph"/>
      </w:pPr>
      <w:r>
        <w:t xml:space="preserve">O Imposto Seletivo (IS), de competência da União, incide sobre produção, extração, comercialização ou importação de bens e serviços prejudiciais à saúde ou ao meio ambiente (CF, art. 153, VIII). Sua função é extrafiscal: desestimular consumos nocivos.</w:t>
      </w:r>
    </w:p>
    <w:p>
      <w:pPr>
        <w:pStyle w:val="BodyText"/>
      </w:pPr>
      <w:r>
        <w:t xml:space="preserve">A LC 214/2025 sujeita ao IS, entre outros, veículos, embarcações e aeronaves, produtos fumígenos, bebidas alcoólicas, bebidas açucaradas, bens minerais e concursos de prognósticos. O imposto incide uma única vez e não alcança exportações nem operações com energia elétrica e telecomunicações (CF, art. 153, § 6º).</w:t>
      </w:r>
    </w:p>
    <w:p>
      <w:pPr>
        <w:pStyle w:val="BodyText"/>
      </w:pPr>
      <w:r>
        <w:t xml:space="preserve">Cobrado a partir de 2027, o IS assume parte da função regulatória do IPI e integra a base dos fundos de participação de Estados e Municípios (art. 159, I).</w:t>
      </w:r>
    </w:p>
    <w:bookmarkEnd w:id="61"/>
    <w:bookmarkStart w:id="62" w:name="uma-reforma-constitucional-e-federativa"/>
    <w:p>
      <w:pPr>
        <w:pStyle w:val="Heading2"/>
      </w:pPr>
      <w:r>
        <w:t xml:space="preserve">5.7 Uma reforma constitucional e federativa</w:t>
      </w:r>
    </w:p>
    <w:p>
      <w:pPr>
        <w:pStyle w:val="FirstParagraph"/>
      </w:pPr>
      <w:r>
        <w:t xml:space="preserve">A EC 132/2023 reescreveu o capítulo do sistema tributário e alterou o pacto federativo: criou um imposto de competência compartilhada, um órgão interfederativo (o CGIBS) e uma partilha de receitas pelo destino. Mais que tributária, é uma reforma constitucional, com reflexos no Direito Constitucional, Administrativo e Financeiro.</w:t>
      </w:r>
    </w:p>
    <w:p>
      <w:pPr>
        <w:pStyle w:val="BodyText"/>
      </w:pPr>
      <w:r>
        <w:t xml:space="preserve">O Estado brasileiro é um Estado fiscal, na expressão de José Casalta Nabais: financia-se essencialmente por tributos, como os demais Estados contemporâneos — ao contrário de Estados que vivem da renda de recursos naturais. Não há Estado de bem-estar sem receita.</w:t>
      </w:r>
    </w:p>
    <w:p>
      <w:pPr>
        <w:pStyle w:val="BodyText"/>
      </w:pPr>
      <w:r>
        <w:t xml:space="preserve">Mudar a base de quase metade da arrecadação é, portanto, mudar a forma de existir do Estado. A comparação possível é a de alguém que troca de profissão: continua a mesma pessoa, mas sua vida passa a se organizar de outro modo.</w:t>
      </w:r>
    </w:p>
    <w:bookmarkEnd w:id="62"/>
    <w:bookmarkStart w:id="63" w:name="legislação-de-regência"/>
    <w:p>
      <w:pPr>
        <w:pStyle w:val="Heading2"/>
      </w:pPr>
      <w:r>
        <w:t xml:space="preserve">5.8 Legislação de regência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EC 132, de 20 de dezembro de 2023</w:t>
      </w:r>
      <w:r>
        <w:t xml:space="preserve"> </w:t>
      </w:r>
      <w:r>
        <w:t xml:space="preserve">— altera o sistema tributário nacional e fixa a transição.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LC 214, de 16 de janeiro de 2025</w:t>
      </w:r>
      <w:r>
        <w:t xml:space="preserve"> </w:t>
      </w:r>
      <w:r>
        <w:t xml:space="preserve">— institui o IBS, a CBS e o IS, em mais de 500 artigos.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LC 227, de 13 de janeiro de 2026</w:t>
      </w:r>
      <w:r>
        <w:t xml:space="preserve"> </w:t>
      </w:r>
      <w:r>
        <w:t xml:space="preserve">— institui o CGIBS, disciplina o processo administrativo do IBS e a distribuição de sua arrecadação, fixa normas gerais do ITCMD e altera o CTN e a LC 214/2025.</w:t>
      </w:r>
    </w:p>
    <w:p>
      <w:pPr>
        <w:pStyle w:val="FirstParagraph"/>
      </w:pPr>
      <w:r>
        <w:t xml:space="preserve">A extensão dessas leis revela o risco de nova complexidade. A vantagem está na unidade: uma única legislação nacional, em lugar de dezenas de legislações sobrepostas.</w:t>
      </w:r>
    </w:p>
    <w:bookmarkEnd w:id="63"/>
    <w:bookmarkEnd w:id="64"/>
    <w:bookmarkStart w:id="83" w:name="sec-cap06"/>
    <w:p>
      <w:pPr>
        <w:pStyle w:val="Heading1"/>
      </w:pPr>
      <w:r>
        <w:t xml:space="preserve">Capítulo 6 — Mecanismos de funcionamento</w:t>
      </w:r>
    </w:p>
    <w:p>
      <w:pPr>
        <w:pStyle w:val="FirstParagraph"/>
      </w:pPr>
      <w:r>
        <w:t xml:space="preserve">Quatro mecanismos sustentam o modelo: crédito amplo, cobrança no destino, recolhimento na liquidação financeira (</w:t>
      </w:r>
      <w:r>
        <w:rPr>
          <w:i/>
          <w:iCs/>
        </w:rPr>
        <w:t xml:space="preserve">split payment</w:t>
      </w:r>
      <w:r>
        <w:t xml:space="preserve">) e devolução a famílias de baixa renda (</w:t>
      </w:r>
      <w:r>
        <w:rPr>
          <w:i/>
          <w:iCs/>
        </w:rPr>
        <w:t xml:space="preserve">cashback</w:t>
      </w:r>
      <w:r>
        <w:t xml:space="preserve">). Os dois últimos não têm precedente em escala comparável, e todos dependem de um sistema informatizado ainda em desenvolvimento.</w:t>
      </w:r>
    </w:p>
    <w:bookmarkStart w:id="70" w:name="não-cumulatividade-plena"/>
    <w:p>
      <w:pPr>
        <w:pStyle w:val="Heading2"/>
      </w:pPr>
      <w:r>
        <w:t xml:space="preserve">6.1 Não cumulatividade plena</w:t>
      </w:r>
    </w:p>
    <w:p>
      <w:pPr>
        <w:pStyle w:val="FirstParagraph"/>
      </w:pPr>
      <w:r>
        <w:t xml:space="preserve">O IBS e a CBS são não cumulativos: o imposto devido em cada operação é compensado com o imposto cobrado em todas as aquisições do contribuinte (CF, art. 156-A, § 1º, VIII). A regra é o crédito amplo.</w:t>
      </w:r>
    </w:p>
    <w:p>
      <w:pPr>
        <w:pStyle w:val="BodyText"/>
      </w:pPr>
      <w:r>
        <w:t xml:space="preserve">A única exceção geral são as aquisições de uso ou consumo pessoal (LC 214/2025, art. 57): joias, obras de arte, bebidas alcoólicas, tabaco, armas, bens recreativos e estéticos e bens fornecidos gratuitamente a sócios, empregados e parentes, entre outros. Fora disso, energia, material de escritório, lixas e lubrificantes geram crédito, sem necessidade de demonstrar ligação com o produto final.</w:t>
      </w:r>
    </w:p>
    <w:p>
      <w:pPr>
        <w:pStyle w:val="BodyText"/>
      </w:pPr>
      <w:r>
        <w:t xml:space="preserve">Dois traços distinguem o novo regime: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crédito condicionado ao pagamento</w:t>
      </w:r>
      <w:r>
        <w:t xml:space="preserve"> </w:t>
      </w:r>
      <w:r>
        <w:t xml:space="preserve">— o crédito nasce quando o tributo da etapa anterior é efetivamente extinto (CF, art. 156-A, § 5º, II; LC 214/2025, art. 47); enquanto</w:t>
      </w:r>
      <w:r>
        <w:t xml:space="preserve"> </w:t>
      </w:r>
      <w:r>
        <w:rPr>
          <w:i/>
          <w:iCs/>
        </w:rPr>
        <w:t xml:space="preserve">split payment</w:t>
      </w:r>
      <w:r>
        <w:t xml:space="preserve"> </w:t>
      </w:r>
      <w:r>
        <w:t xml:space="preserve">e recolhimento pelo adquirente não estiverem implantados, basta o destaque correto no documento fiscal (art. 48);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segregação dos créditos</w:t>
      </w:r>
      <w:r>
        <w:t xml:space="preserve"> </w:t>
      </w:r>
      <w:r>
        <w:t xml:space="preserve">— crédito de IBS compensa apenas IBS, e de CBS apenas CBS; os créditos valem pelo valor nominal por cinco anos e podem ser ressarcidos (arts. 39, 47, 53 e 54).</w:t>
      </w:r>
    </w:p>
    <w:p>
      <w:pPr>
        <w:pStyle w:val="FirstParagraph"/>
      </w:pPr>
      <w:r>
        <w:rPr>
          <w:b/>
          <w:bCs/>
        </w:rPr>
        <w:t xml:space="preserve">Exemplo — o imposto ao longo da cadeia.</w:t>
      </w:r>
      <w:r>
        <w:t xml:space="preserve"> </w:t>
      </w:r>
      <w:r>
        <w:t xml:space="preserve">Com alíquota hipotética de 25%: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Etapa</w:t>
            </w:r>
          </w:p>
        </w:tc>
        <w:tc>
          <w:tcPr/>
          <w:p>
            <w:pPr>
              <w:pStyle w:val="Compact"/>
            </w:pPr>
            <w:r>
              <w:t xml:space="preserve">Preço sem tributo (R$)</w:t>
            </w:r>
          </w:p>
        </w:tc>
        <w:tc>
          <w:tcPr/>
          <w:p>
            <w:pPr>
              <w:pStyle w:val="Compact"/>
            </w:pPr>
            <w:r>
              <w:t xml:space="preserve">Débito (R$)</w:t>
            </w:r>
          </w:p>
        </w:tc>
        <w:tc>
          <w:tcPr/>
          <w:p>
            <w:pPr>
              <w:pStyle w:val="Compact"/>
            </w:pPr>
            <w:r>
              <w:t xml:space="preserve">Crédito (R$)</w:t>
            </w:r>
          </w:p>
        </w:tc>
        <w:tc>
          <w:tcPr/>
          <w:p>
            <w:pPr>
              <w:pStyle w:val="Compact"/>
            </w:pPr>
            <w:r>
              <w:t xml:space="preserve">Recolhe (R$)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Fornecedor</w:t>
            </w:r>
          </w:p>
        </w:tc>
        <w:tc>
          <w:tcPr/>
          <w:p>
            <w:pPr>
              <w:pStyle w:val="Compact"/>
            </w:pPr>
            <w:r>
              <w:t xml:space="preserve">100,00</w:t>
            </w:r>
          </w:p>
        </w:tc>
        <w:tc>
          <w:tcPr/>
          <w:p>
            <w:pPr>
              <w:pStyle w:val="Compact"/>
            </w:pPr>
            <w:r>
              <w:t xml:space="preserve">25,00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25,00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Comerciante</w:t>
            </w:r>
          </w:p>
        </w:tc>
        <w:tc>
          <w:tcPr/>
          <w:p>
            <w:pPr>
              <w:pStyle w:val="Compact"/>
            </w:pPr>
            <w:r>
              <w:t xml:space="preserve">150,00</w:t>
            </w:r>
          </w:p>
        </w:tc>
        <w:tc>
          <w:tcPr/>
          <w:p>
            <w:pPr>
              <w:pStyle w:val="Compact"/>
            </w:pPr>
            <w:r>
              <w:t xml:space="preserve">37,50</w:t>
            </w:r>
          </w:p>
        </w:tc>
        <w:tc>
          <w:tcPr/>
          <w:p>
            <w:pPr>
              <w:pStyle w:val="Compact"/>
            </w:pPr>
            <w:r>
              <w:t xml:space="preserve">25,00</w:t>
            </w:r>
          </w:p>
        </w:tc>
        <w:tc>
          <w:tcPr/>
          <w:p>
            <w:pPr>
              <w:pStyle w:val="Compact"/>
            </w:pPr>
            <w:r>
              <w:t xml:space="preserve">12,50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Consumidor final</w:t>
            </w:r>
          </w:p>
        </w:tc>
        <w:tc>
          <w:tcPr/>
          <w:p>
            <w:pPr>
              <w:pStyle w:val="Compact"/>
            </w:pPr>
            <w:r>
              <w:t xml:space="preserve">paga 187,50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O tributo total, R$ 37,50, corresponde a 25% de R$ 150, o preço final sem tributo. Cada etapa recolheu apenas sobre o valor que agregou.</w:t>
      </w:r>
    </w:p>
    <w:p>
      <w:pPr>
        <w:pStyle w:val="BodyText"/>
      </w:pPr>
      <w:r>
        <w:drawing>
          <wp:inline>
            <wp:extent cx="5334000" cy="2199674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img/f04_cadeia_iva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96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O imposto ao longo da cadeia — não cumulatividade plena.</w:t>
      </w:r>
      <w:r>
        <w:t xml:space="preserve"> </w:t>
      </w:r>
      <w:r>
        <w:t xml:space="preserve">Fonte: elaboração do autor. Alíquota hipotética de 25%, para fins didáticos.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home/claude/.local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Reflexo prático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O ISS sempre foi cumulativo, e as procuradorias municipais raramente lidaram com créditos. A não cumulatividade passa a integrar o cotidiano dos Municípios — assim como a tributação de serviços passa a integrar o dos Estados. O aprendizado será mútuo.</w:t>
            </w:r>
          </w:p>
          <w:p/>
        </w:tc>
      </w:tr>
    </w:tbl>
    <w:bookmarkEnd w:id="70"/>
    <w:bookmarkStart w:id="71" w:name="o-princípio-do-destino"/>
    <w:p>
      <w:pPr>
        <w:pStyle w:val="Heading2"/>
      </w:pPr>
      <w:r>
        <w:t xml:space="preserve">6.2 O princípio do destino</w:t>
      </w:r>
    </w:p>
    <w:p>
      <w:pPr>
        <w:pStyle w:val="FirstParagraph"/>
      </w:pPr>
      <w:r>
        <w:t xml:space="preserve">O IBS é cobrado pela soma das alíquotas do Estado e do Município de destino da operação e pertence a esses entes (CF, art. 156-A, § 1º, VII; LC 214/2025, art. 15). O local da operação é definido em lei: em regra, o da entrega do bem, o da prestação presencial do serviço ou o do domicílio do adquirente (art. 11).</w:t>
      </w:r>
    </w:p>
    <w:p>
      <w:pPr>
        <w:pStyle w:val="BodyText"/>
      </w:pPr>
      <w:r>
        <w:rPr>
          <w:b/>
          <w:bCs/>
        </w:rPr>
        <w:t xml:space="preserve">Exemplo.</w:t>
      </w:r>
      <w:r>
        <w:t xml:space="preserve"> </w:t>
      </w:r>
      <w:r>
        <w:t xml:space="preserve">Em compra feita por consumidor domiciliado em Belo Horizonte a fornecedor de São Paulo, o IBS pertence a Minas Gerais e a Belo Horizonte, ainda que o bem tenha sido produzido em São Paulo.</w:t>
      </w:r>
    </w:p>
    <w:p>
      <w:pPr>
        <w:pStyle w:val="BodyText"/>
      </w:pPr>
      <w:r>
        <w:t xml:space="preserve">A consequência mais visível é o fim da guerra fiscal: benefícios locais deixam de atrair empresas, porque o imposto segue o consumidor. Há, porém, efeito redistributivo: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tendem a perder</w:t>
      </w:r>
      <w:r>
        <w:t xml:space="preserve"> </w:t>
      </w:r>
      <w:r>
        <w:t xml:space="preserve">os Municípios produtores e exportadores, cuja arrecadação vem de atividade consumida fora — como os que sediam refinarias e mineração (Paulínia, em São Paulo, e Parauapebas, no Pará, por exemplo);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tendem a ganhar</w:t>
      </w:r>
      <w:r>
        <w:t xml:space="preserve"> </w:t>
      </w:r>
      <w:r>
        <w:t xml:space="preserve">os Municípios predominantemente consumidores, como os de perfil residencial ou turístico.</w:t>
      </w:r>
      <w:r>
        <w:t xml:space="preserve"> </w:t>
      </w:r>
      <w:r>
        <w:t xml:space="preserve">Por isso, a partilha pelo destino é gradual até 2077 e acompanhada de mecanismos de compensação (item 8.5). A EC 132/2023 criou ainda o Fundo de Compensação de Benefícios Fiscais, para compensar de 2029 a 2032 os titulares de incentivos de ICMS, e o Fundo Nacional de Desenvolvimento Regional, a partir de 2029.</w:t>
      </w:r>
    </w:p>
    <w:bookmarkEnd w:id="71"/>
    <w:bookmarkStart w:id="77" w:name="split-payment"/>
    <w:p>
      <w:pPr>
        <w:pStyle w:val="Heading2"/>
      </w:pPr>
      <w:r>
        <w:t xml:space="preserve">6.3</w:t>
      </w:r>
      <w:r>
        <w:t xml:space="preserve"> </w:t>
      </w:r>
      <w:r>
        <w:rPr>
          <w:i/>
          <w:iCs/>
        </w:rPr>
        <w:t xml:space="preserve">Split payment</w:t>
      </w:r>
    </w:p>
    <w:p>
      <w:pPr>
        <w:pStyle w:val="FirstParagraph"/>
      </w:pPr>
      <w:r>
        <w:t xml:space="preserve">O</w:t>
      </w:r>
      <w:r>
        <w:t xml:space="preserve"> </w:t>
      </w:r>
      <w:r>
        <w:rPr>
          <w:i/>
          <w:iCs/>
        </w:rPr>
        <w:t xml:space="preserve">split payment</w:t>
      </w:r>
      <w:r>
        <w:t xml:space="preserve"> </w:t>
      </w:r>
      <w:r>
        <w:t xml:space="preserve">é o recolhimento do tributo na liquidação financeira da operação. No momento em que o pagamento é processado — por Pix, cartão ou boleto —, o prestador de serviço de pagamento separa o IBS e a CBS e os envia ao Fisco; o fornecedor recebe apenas o valor líquido (LC 214/2025, arts. 31 a 35).</w:t>
      </w:r>
    </w:p>
    <w:p>
      <w:pPr>
        <w:pStyle w:val="BodyText"/>
      </w:pPr>
      <w:r>
        <w:t xml:space="preserve">A inspiração vem dos</w:t>
      </w:r>
      <w:r>
        <w:t xml:space="preserve"> </w:t>
      </w:r>
      <w:r>
        <w:rPr>
          <w:i/>
          <w:iCs/>
        </w:rPr>
        <w:t xml:space="preserve">marketplaces</w:t>
      </w:r>
      <w:r>
        <w:t xml:space="preserve">. O comprador paga um valor único, e a plataforma divide o pagamento entre vendedores, transportadora e sua própria comissão, sem que o dinheiro transite pela conta de cada um.</w:t>
      </w:r>
    </w:p>
    <w:p>
      <w:pPr>
        <w:pStyle w:val="BodyText"/>
      </w:pPr>
      <w:r>
        <w:drawing>
          <wp:inline>
            <wp:extent cx="5334000" cy="2733357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img/f05_split_payment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3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Fluxo do split payment.</w:t>
      </w:r>
      <w:r>
        <w:t xml:space="preserve"> </w:t>
      </w:r>
      <w:r>
        <w:t xml:space="preserve">Fonte: LC 214/2025, arts. 31 a 36; elaboração do autor.</w:t>
      </w:r>
    </w:p>
    <w:p>
      <w:pPr>
        <w:pStyle w:val="BodyText"/>
      </w:pPr>
      <w:r>
        <w:t xml:space="preserve">O prestador de pagamento consulta o sistema, separa o IBS e a CBS e repassa ao vendedor apenas o valor líquido.</w:t>
      </w:r>
    </w:p>
    <w:p>
      <w:pPr>
        <w:pStyle w:val="BodyText"/>
      </w:pPr>
      <w:r>
        <w:t xml:space="preserve">A lei prevê dois procedimentos: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padrão</w:t>
      </w:r>
      <w:r>
        <w:t xml:space="preserve"> </w:t>
      </w:r>
      <w:r>
        <w:t xml:space="preserve">— o prestador de pagamento consulta o sistema do CGIBS e da Receita Federal e segrega o tributo de cada operação, abatido o que já foi pago (art. 32);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simplificado</w:t>
      </w:r>
      <w:r>
        <w:t xml:space="preserve"> </w:t>
      </w:r>
      <w:r>
        <w:t xml:space="preserve">— segrega-se percentual preestabelecido do valor da operação, que pode variar por setor ou por contribuinte (art. 33).</w:t>
      </w:r>
    </w:p>
    <w:p>
      <w:pPr>
        <w:pStyle w:val="FirstParagraph"/>
      </w:pPr>
      <w:r>
        <w:t xml:space="preserve">Alternativamente, o adquirente contribuinte pode recolher ele mesmo o tributo da operação: é o recolhimento pelo adquirente (art. 36).</w:t>
      </w:r>
    </w:p>
    <w:p>
      <w:pPr>
        <w:pStyle w:val="BodyText"/>
      </w:pPr>
      <w:r>
        <w:rPr>
          <w:b/>
          <w:bCs/>
        </w:rPr>
        <w:t xml:space="preserve">Situação em outubro de 2026.</w:t>
      </w:r>
      <w:r>
        <w:t xml:space="preserve"> </w:t>
      </w:r>
      <w:r>
        <w:t xml:space="preserve">O CGIBS anunciou, em agosto de 2026, que o</w:t>
      </w:r>
      <w:r>
        <w:t xml:space="preserve"> </w:t>
      </w:r>
      <w:r>
        <w:rPr>
          <w:i/>
          <w:iCs/>
        </w:rPr>
        <w:t xml:space="preserve">split payment</w:t>
      </w:r>
      <w:r>
        <w:t xml:space="preserve"> </w:t>
      </w:r>
      <w:r>
        <w:t xml:space="preserve">não estará em funcionamento em janeiro de 2027. A implantação será gradual, começando de forma opcional e restrita a operações entre empresas (</w:t>
      </w:r>
      <w:hyperlink r:id="rId75">
        <w:r>
          <w:rPr>
            <w:rStyle w:val="Hyperlink"/>
          </w:rPr>
          <w:t xml:space="preserve">Convergência Digital, 2026</w:t>
        </w:r>
      </w:hyperlink>
      <w:r>
        <w:t xml:space="preserve">). A própria lei já previa essa gradualidade (art. 35, § 2º).</w:t>
      </w:r>
    </w:p>
    <w:p>
      <w:pPr>
        <w:pStyle w:val="BodyText"/>
      </w:pPr>
      <w:r>
        <w:rPr>
          <w:b/>
          <w:bCs/>
        </w:rPr>
        <w:t xml:space="preserve">Experiência internacional.</w:t>
      </w:r>
      <w:r>
        <w:t xml:space="preserve"> </w:t>
      </w:r>
      <w:r>
        <w:t xml:space="preserve">A Itália aplica o mecanismo desde 2015, originalmente restrito a fornecimentos à administração pública; Polônia e Romênia adotaram variantes com contas bancárias segregadas. Estudo elaborado pela Deloitte para a Comissão Europeia, em 2017, não encontrou evidência forte de que os benefícios superassem os custos e concluiu que a aplicação ampla seria pouco atrativa, embora útil como medida focalizada (</w:t>
      </w:r>
      <w:hyperlink r:id="rId76">
        <w:r>
          <w:rPr>
            <w:rStyle w:val="Hyperlink"/>
          </w:rPr>
          <w:t xml:space="preserve">Comissão Europeia, 2017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Avaliação.</w:t>
      </w:r>
      <w:r>
        <w:t xml:space="preserve"> </w:t>
      </w:r>
      <w:r>
        <w:t xml:space="preserve">Nenhum país aplicou</w:t>
      </w:r>
      <w:r>
        <w:t xml:space="preserve"> </w:t>
      </w:r>
      <w:r>
        <w:rPr>
          <w:i/>
          <w:iCs/>
        </w:rPr>
        <w:t xml:space="preserve">split payment</w:t>
      </w:r>
      <w:r>
        <w:t xml:space="preserve"> </w:t>
      </w:r>
      <w:r>
        <w:t xml:space="preserve">na escala pretendida pelo Brasil. Previa-se que o mecanismo começaria por setores de grande circulação e valor e se expandiria aos poucos — prognóstico que a regulamentação veio a confirmar.</w:t>
      </w:r>
    </w:p>
    <w:bookmarkEnd w:id="77"/>
    <w:bookmarkStart w:id="78" w:name="devolução-personalizada-cashback"/>
    <w:p>
      <w:pPr>
        <w:pStyle w:val="Heading2"/>
      </w:pPr>
      <w:r>
        <w:t xml:space="preserve">6.4 Devolução personalizada (</w:t>
      </w:r>
      <w:r>
        <w:rPr>
          <w:i/>
          <w:iCs/>
        </w:rPr>
        <w:t xml:space="preserve">cashback</w:t>
      </w:r>
      <w:r>
        <w:t xml:space="preserve">)</w:t>
      </w:r>
    </w:p>
    <w:p>
      <w:pPr>
        <w:pStyle w:val="FirstParagraph"/>
      </w:pPr>
      <w:r>
        <w:t xml:space="preserve">O</w:t>
      </w:r>
      <w:r>
        <w:t xml:space="preserve"> </w:t>
      </w:r>
      <w:r>
        <w:rPr>
          <w:i/>
          <w:iCs/>
        </w:rPr>
        <w:t xml:space="preserve">cashback</w:t>
      </w:r>
      <w:r>
        <w:t xml:space="preserve"> </w:t>
      </w:r>
      <w:r>
        <w:t xml:space="preserve">devolve a famílias de baixa renda parte do IBS e da CBS embutidos no que consomem. É a resposta ao dever constitucional de atenuar a regressividade (CF, arts. 145, § 4º, 156-A, § 5º, VIII, e 195, § 18). Os parâmetros estão na LC 214/2025 (arts. 112 a 124):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beneficiários</w:t>
      </w:r>
      <w:r>
        <w:t xml:space="preserve"> </w:t>
      </w:r>
      <w:r>
        <w:t xml:space="preserve">— famílias inscritas no Cadastro Único (CadÚnico) com renda familiar mensal per capita de até meio salário mínimo;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percentuais</w:t>
      </w:r>
      <w:r>
        <w:t xml:space="preserve"> </w:t>
      </w:r>
      <w:r>
        <w:t xml:space="preserve">— 100% da CBS e 20% do IBS na compra de botijão de gás de até 13 kg e nas contas de energia elétrica, água, esgoto, gás canalizado e telecomunicações; 20% da CBS e do IBS nos demais casos, exceto bens sujeitos ao Imposto Seletivo (art. 118);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ampliação</w:t>
      </w:r>
      <w:r>
        <w:t xml:space="preserve"> </w:t>
      </w:r>
      <w:r>
        <w:t xml:space="preserve">— cada ente pode fixar, por lei, percentuais maiores para sua parcela (art. 118, § 1º);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início</w:t>
      </w:r>
      <w:r>
        <w:t xml:space="preserve"> </w:t>
      </w:r>
      <w:r>
        <w:t xml:space="preserve">— janeiro de 2027 para a CBS e janeiro de 2029 para o IBS.</w:t>
      </w:r>
    </w:p>
    <w:p>
      <w:pPr>
        <w:pStyle w:val="FirstParagraph"/>
      </w:pPr>
      <w:r>
        <w:t xml:space="preserve">Para energia elétrica e gás de cozinha, a devolução é constitucionalmente obrigatória e pode ser concedida na própria conta (CF, art. 156-A, § 13).</w:t>
      </w:r>
    </w:p>
    <w:bookmarkEnd w:id="78"/>
    <w:bookmarkStart w:id="81" w:name="X7b0615521b2acabc3e00c2481ff22633545ed1c"/>
    <w:p>
      <w:pPr>
        <w:pStyle w:val="Heading2"/>
      </w:pPr>
      <w:r>
        <w:t xml:space="preserve">6.5 Documentos eletrônicos e apuração assistida</w:t>
      </w:r>
    </w:p>
    <w:p>
      <w:pPr>
        <w:pStyle w:val="FirstParagraph"/>
      </w:pPr>
      <w:r>
        <w:t xml:space="preserve">O modelo apoia-se em documentos fiscais eletrônicos de padrão nacional. Desde 3 de agosto de 2026, as notas fiscais devem trazer os campos do IBS e da CBS.</w:t>
      </w:r>
    </w:p>
    <w:p>
      <w:pPr>
        <w:pStyle w:val="BodyText"/>
      </w:pPr>
      <w:r>
        <w:t xml:space="preserve">A apuração é mensal e consolida todos os estabelecimentos do contribuinte (LC 214/2025, arts. 42 e 43). Feita pelo contribuinte, implica confissão de dívida e constitui o crédito tributário (art. 45, § 4º).</w:t>
      </w:r>
    </w:p>
    <w:p>
      <w:pPr>
        <w:pStyle w:val="BodyText"/>
      </w:pPr>
      <w:r>
        <w:t xml:space="preserve">A grande novidade é a apuração assistida (art. 46). O CGIBS e a Receita Federal podem apresentar ao contribuinte apuração pré-preenchida, com base nos documentos fiscais e nos pagamentos registrados:</w:t>
      </w:r>
    </w:p>
    <w:p>
      <w:pPr>
        <w:pStyle w:val="Compact"/>
        <w:numPr>
          <w:ilvl w:val="0"/>
          <w:numId w:val="1019"/>
        </w:numPr>
      </w:pPr>
      <w:r>
        <w:t xml:space="preserve">se o contribuinte a confirmar ou ajustar, há confissão de dívida e constituição do crédito (§ 3º);</w:t>
      </w:r>
    </w:p>
    <w:p>
      <w:pPr>
        <w:pStyle w:val="Compact"/>
        <w:numPr>
          <w:ilvl w:val="0"/>
          <w:numId w:val="1019"/>
        </w:numPr>
      </w:pPr>
      <w:r>
        <w:t xml:space="preserve">se silenciar no prazo, presume-se correto o saldo e considera-se constituído o crédito (§ 4º);</w:t>
      </w:r>
    </w:p>
    <w:p>
      <w:pPr>
        <w:pStyle w:val="Compact"/>
        <w:numPr>
          <w:ilvl w:val="0"/>
          <w:numId w:val="1019"/>
        </w:numPr>
      </w:pPr>
      <w:r>
        <w:t xml:space="preserve">permanece possível o lançamento de ofício de diferenças verificadas depois (§ 7º).</w:t>
      </w:r>
    </w:p>
    <w:p>
      <w:pPr>
        <w:pStyle w:val="FirstParagraph"/>
      </w:pPr>
      <w:r>
        <w:t xml:space="preserve">A sistemática aproxima-se da experiência do Simples Nacional, em que a guia já chega calculada. Reduz-se o espaço do autolançamento — e, com ele, parte do contencioso.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9" name="Picture"/>
                  <a:graphic>
                    <a:graphicData uri="http://schemas.openxmlformats.org/drawingml/2006/picture">
                      <pic:pic>
                        <pic:nvPicPr>
                          <pic:cNvPr descr="/home/claude/.local/quarto/share/formats/docx/note.png" id="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Reflexo prático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confissão de dívida e a apuração assistida são instrumentos hábeis e suficientes para a exigência do tributo (art. 46, § 5º). Muda, portanto, a forma de constituição dos créditos que chegarão à dívida ativa.</w:t>
            </w:r>
          </w:p>
          <w:p/>
        </w:tc>
      </w:tr>
    </w:tbl>
    <w:bookmarkEnd w:id="81"/>
    <w:bookmarkStart w:id="82" w:name="X8b8ae4994ba1e4d2a0e1e0017d2682c10645048"/>
    <w:p>
      <w:pPr>
        <w:pStyle w:val="Heading2"/>
      </w:pPr>
      <w:r>
        <w:t xml:space="preserve">6.6 O sistema informatizado: coração do modelo</w:t>
      </w:r>
    </w:p>
    <w:p>
      <w:pPr>
        <w:pStyle w:val="FirstParagraph"/>
      </w:pPr>
      <w:r>
        <w:rPr>
          <w:i/>
          <w:iCs/>
        </w:rPr>
        <w:t xml:space="preserve">Split payment</w:t>
      </w:r>
      <w:r>
        <w:t xml:space="preserve">,</w:t>
      </w:r>
      <w:r>
        <w:t xml:space="preserve"> </w:t>
      </w:r>
      <w:r>
        <w:rPr>
          <w:i/>
          <w:iCs/>
        </w:rPr>
        <w:t xml:space="preserve">cashback</w:t>
      </w:r>
      <w:r>
        <w:t xml:space="preserve">, créditos condicionados ao pagamento, apuração assistida e partilha pelo destino têm um pressuposto comum: um sistema capaz de processar, praticamente em tempo real, todas as operações do país. Sem ele, não há IBS nem CBS como desenhados.</w:t>
      </w:r>
    </w:p>
    <w:p>
      <w:pPr>
        <w:pStyle w:val="BodyText"/>
      </w:pPr>
      <w:r>
        <w:t xml:space="preserve">A escala é inédita: grandes empresas emitem volumes muito elevados de notas fiscais, e o novo sistema deverá processar todas as operações de todos os contribuintes.</w:t>
      </w:r>
    </w:p>
    <w:p>
      <w:pPr>
        <w:pStyle w:val="BodyText"/>
      </w:pPr>
      <w:r>
        <w:t xml:space="preserve">A experiência dos Fiscos recomenda cautela. A migração de grandes Municípios para a nota fiscal de serviços nacional tem sido gradual, porque uma falha impediria a emissão de notas em larga escala. Quando um sistema de arrecadação fica indisponível, o contribuinte não consegue sequer emitir a guia para pagar.</w:t>
      </w:r>
    </w:p>
    <w:p>
      <w:pPr>
        <w:pStyle w:val="BodyText"/>
      </w:pPr>
      <w:r>
        <w:t xml:space="preserve">Na Administração, sistemas aparentemente periféricos são críticos. Ninguém percebe a infraestrutura enquanto funciona; todos a notam quando falha. Eventual atraso no sistema do IBS e da CBS tende a provocar prorrogação de etapas do cronograma.</w:t>
      </w:r>
    </w:p>
    <w:bookmarkEnd w:id="82"/>
    <w:bookmarkEnd w:id="83"/>
    <w:bookmarkStart w:id="94" w:name="sec-cap07"/>
    <w:p>
      <w:pPr>
        <w:pStyle w:val="Heading1"/>
      </w:pPr>
      <w:r>
        <w:t xml:space="preserve">Capítulo 7 — O Comitê Gestor do IBS (CGIBS)</w:t>
      </w:r>
    </w:p>
    <w:p>
      <w:pPr>
        <w:pStyle w:val="FirstParagraph"/>
      </w:pPr>
      <w:r>
        <w:t xml:space="preserve">O IBS é um único imposto de 27 unidades federadas e 5.570 Municípios. Sua administração integrada cabe a um órgão interfederativo inédito, o CGIBS, instituído pela LC 227/2026 e ainda em estruturação.</w:t>
      </w:r>
    </w:p>
    <w:bookmarkStart w:id="84" w:name="competências-constitucionais"/>
    <w:p>
      <w:pPr>
        <w:pStyle w:val="Heading2"/>
      </w:pPr>
      <w:r>
        <w:t xml:space="preserve">7.1 Competências constitucionais</w:t>
      </w:r>
    </w:p>
    <w:p>
      <w:pPr>
        <w:pStyle w:val="FirstParagraph"/>
      </w:pPr>
      <w:r>
        <w:t xml:space="preserve">Estados, DF e Municípios exercem de forma integrada, exclusivamente por meio do CGIBS, três competências administrativas (CF, art. 156-B):</w:t>
      </w:r>
    </w:p>
    <w:p>
      <w:pPr>
        <w:pStyle w:val="Compact"/>
        <w:numPr>
          <w:ilvl w:val="0"/>
          <w:numId w:val="1020"/>
        </w:numPr>
      </w:pPr>
      <w:r>
        <w:t xml:space="preserve">editar o regulamento único do IBS e uniformizar sua interpretação e aplicação;</w:t>
      </w:r>
    </w:p>
    <w:p>
      <w:pPr>
        <w:pStyle w:val="Compact"/>
        <w:numPr>
          <w:ilvl w:val="0"/>
          <w:numId w:val="1020"/>
        </w:numPr>
      </w:pPr>
      <w:r>
        <w:t xml:space="preserve">arrecadar o imposto, efetuar as compensações e distribuir o produto da arrecadação entre os entes;</w:t>
      </w:r>
    </w:p>
    <w:p>
      <w:pPr>
        <w:pStyle w:val="Compact"/>
        <w:numPr>
          <w:ilvl w:val="0"/>
          <w:numId w:val="1020"/>
        </w:numPr>
      </w:pPr>
      <w:r>
        <w:t xml:space="preserve">decidir o contencioso administrativo.</w:t>
      </w:r>
    </w:p>
    <w:p>
      <w:pPr>
        <w:pStyle w:val="FirstParagraph"/>
      </w:pPr>
      <w:r>
        <w:t xml:space="preserve">O regulamento único evita que o mesmo imposto receba entendimentos diferentes em cada ente. O CGIBS centraliza a arrecadação e reparte o produto conforme o destino das operações.</w:t>
      </w:r>
    </w:p>
    <w:bookmarkEnd w:id="84"/>
    <w:bookmarkStart w:id="86" w:name="natureza-jurídica-e-financiamento"/>
    <w:p>
      <w:pPr>
        <w:pStyle w:val="Heading2"/>
      </w:pPr>
      <w:r>
        <w:t xml:space="preserve">7.2 Natureza jurídica e financiamento</w:t>
      </w:r>
    </w:p>
    <w:p>
      <w:pPr>
        <w:pStyle w:val="FirstParagraph"/>
      </w:pPr>
      <w:r>
        <w:t xml:space="preserve">A Constituição qualifica o CGIBS como entidade pública sob regime especial, com independência técnica, administrativa, orçamentária e financeira (art. 156-B, § 1º). Não pertence à União nem a nenhum ente isoladamente, embora tenha sede em Brasília; o controle externo cabe aos próprios entes (§ 2º, IV).</w:t>
      </w:r>
    </w:p>
    <w:p>
      <w:pPr>
        <w:pStyle w:val="BodyText"/>
      </w:pPr>
      <w:r>
        <w:t xml:space="preserve">A doutrina ainda discute o enquadramento dessa figura</w:t>
      </w:r>
      <w:r>
        <w:t xml:space="preserve"> </w:t>
      </w:r>
      <w:r>
        <w:rPr>
          <w:i/>
          <w:iCs/>
        </w:rPr>
        <w:t xml:space="preserve">sui generis</w:t>
      </w:r>
      <w:r>
        <w:t xml:space="preserve"> </w:t>
      </w:r>
      <w:r>
        <w:t xml:space="preserve">— se autarquia interfederativa, entidade nacional ou categoria própria.</w:t>
      </w:r>
    </w:p>
    <w:p>
      <w:pPr>
        <w:pStyle w:val="BodyText"/>
      </w:pPr>
      <w:r>
        <w:t xml:space="preserve">O CGIBS é financiado por percentual da arrecadação do IBS (§ 2º, III). As despesas de instalação são custeadas pela União, com ressarcimento posterior (EC 132/2023, art. 14). Na transição, parte da arrecadação inicial do imposto custeia seu funcionamento: para 2027, o CGIBS estimou receita de R$ 5,15 bilhões de IBS, da qual até metade pode ser destinada ao órgão (</w:t>
      </w:r>
      <w:hyperlink r:id="rId85">
        <w:r>
          <w:rPr>
            <w:rStyle w:val="Hyperlink"/>
          </w:rPr>
          <w:t xml:space="preserve">Contábeis, 2026</w:t>
        </w:r>
      </w:hyperlink>
      <w:r>
        <w:t xml:space="preserve">).</w:t>
      </w:r>
    </w:p>
    <w:bookmarkEnd w:id="86"/>
    <w:bookmarkStart w:id="87" w:name="composição-e-deliberação"/>
    <w:p>
      <w:pPr>
        <w:pStyle w:val="Heading2"/>
      </w:pPr>
      <w:r>
        <w:t xml:space="preserve">7.3 Composição e deliberação</w:t>
      </w:r>
    </w:p>
    <w:p>
      <w:pPr>
        <w:pStyle w:val="FirstParagraph"/>
      </w:pPr>
      <w:r>
        <w:t xml:space="preserve">A instância máxima é o Conselho Superior, com representação paritária (art. 156-B, § 3º):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Bloco</w:t>
            </w:r>
          </w:p>
        </w:tc>
        <w:tc>
          <w:tcPr/>
          <w:p>
            <w:pPr>
              <w:pStyle w:val="Compact"/>
            </w:pPr>
            <w:r>
              <w:t xml:space="preserve">Membros</w:t>
            </w:r>
          </w:p>
        </w:tc>
        <w:tc>
          <w:tcPr/>
          <w:p>
            <w:pPr>
              <w:pStyle w:val="Compact"/>
            </w:pPr>
            <w:r>
              <w:t xml:space="preserve">Forma de escolha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Estados e DF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Um representante por Estado e pelo DF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Municípios e DF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Eleitos com votos de igual peso para cada Município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Municípios e DF</w:t>
            </w:r>
          </w:p>
        </w:tc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Eleitos com votos ponderados pela população de cada Município</w:t>
            </w:r>
          </w:p>
        </w:tc>
      </w:tr>
    </w:tbl>
    <w:p>
      <w:pPr>
        <w:pStyle w:val="BodyText"/>
      </w:pPr>
      <w:r>
        <w:t xml:space="preserve">As deliberações exigem, cumulativamente (§ 4º):</w:t>
      </w:r>
    </w:p>
    <w:p>
      <w:pPr>
        <w:pStyle w:val="Compact"/>
        <w:numPr>
          <w:ilvl w:val="0"/>
          <w:numId w:val="1021"/>
        </w:numPr>
      </w:pPr>
      <w:r>
        <w:t xml:space="preserve">maioria absoluta dos representantes estaduais, que correspondam a mais de 50% da população do país;</w:t>
      </w:r>
    </w:p>
    <w:p>
      <w:pPr>
        <w:pStyle w:val="Compact"/>
        <w:numPr>
          <w:ilvl w:val="0"/>
          <w:numId w:val="1021"/>
        </w:numPr>
      </w:pPr>
      <w:r>
        <w:t xml:space="preserve">maioria absoluta dos representantes municipais.</w:t>
      </w:r>
    </w:p>
    <w:p>
      <w:pPr>
        <w:pStyle w:val="FirstParagraph"/>
      </w:pPr>
      <w:r>
        <w:t xml:space="preserve">A presidência alterna entre o conjunto dos Estados e o dos Municípios (§ 2º, II).</w:t>
      </w:r>
    </w:p>
    <w:p>
      <w:pPr>
        <w:pStyle w:val="BodyText"/>
      </w:pPr>
      <w:r>
        <w:t xml:space="preserve">A escolha dos representantes municipais por dois sistemas de voto — igual e ponderado pela população — busca equilibrar os interesses de Municípios pequenos e grandes.</w:t>
      </w:r>
    </w:p>
    <w:bookmarkEnd w:id="87"/>
    <w:bookmarkStart w:id="88" w:name="estrutura-e-estágio-de-implantação"/>
    <w:p>
      <w:pPr>
        <w:pStyle w:val="Heading2"/>
      </w:pPr>
      <w:r>
        <w:t xml:space="preserve">7.4 Estrutura e estágio de implantação</w:t>
      </w:r>
    </w:p>
    <w:p>
      <w:pPr>
        <w:pStyle w:val="FirstParagraph"/>
      </w:pPr>
      <w:r>
        <w:t xml:space="preserve">Além do Conselho Superior, o CGIBS conta com diretoria executiva e órgãos internos, entre eles uma Diretoria de Procuradorias, encarregada de coordenar a atuação das procuradorias na cobrança do IBS.</w:t>
      </w:r>
    </w:p>
    <w:p>
      <w:pPr>
        <w:pStyle w:val="BodyText"/>
      </w:pPr>
      <w:r>
        <w:t xml:space="preserve">Em outubro de 2026, a implantação ainda era incipiente:</w:t>
      </w:r>
    </w:p>
    <w:p>
      <w:pPr>
        <w:pStyle w:val="Compact"/>
        <w:numPr>
          <w:ilvl w:val="0"/>
          <w:numId w:val="1022"/>
        </w:numPr>
      </w:pPr>
      <w:r>
        <w:t xml:space="preserve">não havia sede própria nem sistemas em operação plena;</w:t>
      </w:r>
    </w:p>
    <w:p>
      <w:pPr>
        <w:pStyle w:val="Compact"/>
        <w:numPr>
          <w:ilvl w:val="0"/>
          <w:numId w:val="1022"/>
        </w:numPr>
      </w:pPr>
      <w:r>
        <w:t xml:space="preserve">o quadro dependia de servidores cedidos pelos entes ou que acumulavam funções em suas carreiras de origem;</w:t>
      </w:r>
    </w:p>
    <w:p>
      <w:pPr>
        <w:pStyle w:val="Compact"/>
        <w:numPr>
          <w:ilvl w:val="0"/>
          <w:numId w:val="1022"/>
        </w:numPr>
      </w:pPr>
      <w:r>
        <w:t xml:space="preserve">o regimento interno era provisório.</w:t>
      </w:r>
    </w:p>
    <w:bookmarkEnd w:id="88"/>
    <w:bookmarkStart w:id="89" w:name="X79fe42f7a133b82a325e1fe08f6292a943e7f13"/>
    <w:p>
      <w:pPr>
        <w:pStyle w:val="Heading2"/>
      </w:pPr>
      <w:r>
        <w:t xml:space="preserve">7.5 Fiscalização, lançamento e cobrança: competência dos entes</w:t>
      </w:r>
    </w:p>
    <w:p>
      <w:pPr>
        <w:pStyle w:val="FirstParagraph"/>
      </w:pPr>
      <w:r>
        <w:t xml:space="preserve">A Constituição reservou aos entes as atividades que exigem atuação local. Fiscalização, lançamento, cobrança, representação administrativa e representação judicial do IBS são realizadas pelas administrações tributárias e procuradorias dos Estados, do DF e dos Municípios (art. 156-B, § 2º, V).</w:t>
      </w:r>
    </w:p>
    <w:p>
      <w:pPr>
        <w:pStyle w:val="BodyText"/>
      </w:pPr>
      <w:r>
        <w:t xml:space="preserve">Os entes podem definir hipóteses de delegação ou de compartilhamento dessas competências; ao CGIBS cabe coordená-las. As funções privativas de auditores e procuradores, quando exercidas no CGIBS, cabem a servidores dessas carreiras (§ 2º, VI). Duas consequências decorrem daí:</w:t>
      </w:r>
    </w:p>
    <w:p>
      <w:pPr>
        <w:pStyle w:val="Compact"/>
        <w:numPr>
          <w:ilvl w:val="0"/>
          <w:numId w:val="1023"/>
        </w:numPr>
      </w:pPr>
      <w:r>
        <w:t xml:space="preserve">a cobrança judicial do IBS continuará a cargo de procuradorias estaduais e municipais, e não do CGIBS;</w:t>
      </w:r>
    </w:p>
    <w:p>
      <w:pPr>
        <w:pStyle w:val="Compact"/>
        <w:numPr>
          <w:ilvl w:val="0"/>
          <w:numId w:val="1023"/>
        </w:numPr>
      </w:pPr>
      <w:r>
        <w:t xml:space="preserve">abre-se espaço para convênios de cobrança conjunta entre Estado e Municípios (item 10.3).</w:t>
      </w:r>
    </w:p>
    <w:p>
      <w:pPr>
        <w:pStyle w:val="FirstParagraph"/>
      </w:pPr>
      <w:r>
        <w:t xml:space="preserve">Permanecem em aberto, porém, quais entes cobrarão cada crédito — em tese, os de destino — e quem fará a inscrição em dívida ativa (item 9.3).</w:t>
      </w:r>
    </w:p>
    <w:p>
      <w:pPr>
        <w:pStyle w:val="BodyText"/>
      </w:pPr>
      <w:r>
        <w:t xml:space="preserve">O CGIBS, a Receita Federal e a PGFN devem compartilhar informações e harmonizar normas, interpretações e procedimentos relativos ao IBS e à CBS (§§ 6º e 7º).</w:t>
      </w:r>
    </w:p>
    <w:bookmarkEnd w:id="89"/>
    <w:bookmarkStart w:id="92" w:name="contencioso-administrativo-do-ibs"/>
    <w:p>
      <w:pPr>
        <w:pStyle w:val="Heading2"/>
      </w:pPr>
      <w:r>
        <w:t xml:space="preserve">7.6 Contencioso administrativo do IBS</w:t>
      </w:r>
    </w:p>
    <w:p>
      <w:pPr>
        <w:pStyle w:val="FirstParagraph"/>
      </w:pPr>
      <w:r>
        <w:t xml:space="preserve">O contencioso administrativo do IBS é decidido no âmbito do CGIBS (art. 156-B, III). A LC 227/2026 organizou-o em instâncias de julgamento com participação de Estados e Municípios e em instância de uniformização da jurisprudência, com prazos de 20 dias úteis para impugnação e recursos. Lei complementar pode ainda integrar o contencioso do IBS e o da CBS (§ 8º).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home/claude/.local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Reflexo prático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Os órgãos administrativos de julgamento de cada ente, como os conselhos municipais de contribuintes, não julgarão o IBS, que cabe ao CGIBS. Seguirão competentes para os tributos locais e para o estoque de ISS e de ICMS, que perdurará por muitos anos após 2033.</w:t>
            </w:r>
          </w:p>
          <w:p/>
        </w:tc>
      </w:tr>
    </w:tbl>
    <w:bookmarkEnd w:id="92"/>
    <w:bookmarkStart w:id="93" w:name="conflitos-federativos"/>
    <w:p>
      <w:pPr>
        <w:pStyle w:val="Heading2"/>
      </w:pPr>
      <w:r>
        <w:t xml:space="preserve">7.7 Conflitos federativos</w:t>
      </w:r>
    </w:p>
    <w:p>
      <w:pPr>
        <w:pStyle w:val="FirstParagraph"/>
      </w:pPr>
      <w:r>
        <w:t xml:space="preserve">Compete ao STJ processar e julgar originariamente os conflitos entre entes federativos, ou entre estes e o CGIBS, relacionados ao IBS e à CBS (CF, art. 105, I, j). A regra resolve a disputa entre entes; não define, porém, a competência para as ações de contribuintes e para as execuções fiscais (item 9.3).</w:t>
      </w:r>
    </w:p>
    <w:bookmarkEnd w:id="93"/>
    <w:bookmarkEnd w:id="94"/>
    <w:bookmarkStart w:id="110" w:name="sec-cap08"/>
    <w:p>
      <w:pPr>
        <w:pStyle w:val="Heading1"/>
      </w:pPr>
      <w:r>
        <w:t xml:space="preserve">Capítulo 8 — A transição (2026–2033) e a partilha até 2077</w:t>
      </w:r>
    </w:p>
    <w:p>
      <w:pPr>
        <w:pStyle w:val="FirstParagraph"/>
      </w:pPr>
      <w:r>
        <w:t xml:space="preserve">A substituição é gradual. Em 2026 há apenas teste; em 2027, a CBS substitui PIS e Cofins; de 2029 a 2032, ICMS e ISS perdem um décimo de suas alíquotas a cada ano; em 2033, são extintos. A partilha do IBS pelo destino só se completa em 2078.</w:t>
      </w:r>
    </w:p>
    <w:p>
      <w:pPr>
        <w:pStyle w:val="BodyText"/>
      </w:pPr>
      <w:r>
        <w:drawing>
          <wp:inline>
            <wp:extent cx="5334000" cy="3868491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img/f06_transicao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8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Transição de 2026 a 2033: ICMS e ISS × IBS.</w:t>
      </w:r>
      <w:r>
        <w:t xml:space="preserve"> </w:t>
      </w:r>
      <w:r>
        <w:t xml:space="preserve">Fonte: EC 132/2023, ADCT, arts. 125 a 129; elaboração do autor. Peso aproximado na tributação estadual e municipal do consumo.</w:t>
      </w:r>
    </w:p>
    <w:p>
      <w:pPr>
        <w:pStyle w:val="BodyText"/>
      </w:pPr>
      <w:r>
        <w:t xml:space="preserve">Até 2028, os tributos antigos seguem integrais enquanto os novos são testados; de 2029 a 2032, o IBS cresce na medida em que ICMS e ISS diminuem.</w:t>
      </w:r>
    </w:p>
    <w:bookmarkStart w:id="98" w:name="o-ano-de-teste"/>
    <w:p>
      <w:pPr>
        <w:pStyle w:val="Heading2"/>
      </w:pPr>
      <w:r>
        <w:t xml:space="preserve">8.1 2026: o ano de teste</w:t>
      </w:r>
    </w:p>
    <w:p>
      <w:pPr>
        <w:pStyle w:val="FirstParagraph"/>
      </w:pPr>
      <w:r>
        <w:t xml:space="preserve">Em 2026, a CBS é cobrada à alíquota de 0,9%, e o IBS, à alíquota estadual de 0,1% (ADCT, art. 125). O valor é compensável com PIS e Cofins, e o recolhimento é dispensado para quem cumpre as obrigações acessórias (§ 4º).</w:t>
      </w:r>
    </w:p>
    <w:p>
      <w:pPr>
        <w:pStyle w:val="BodyText"/>
      </w:pPr>
      <w:r>
        <w:t xml:space="preserve">Desde 3 de agosto de 2026, os documentos fiscais devem conter os campos do IBS e da CBS. A finalidade é testar sistemas, ajustar procedimentos e produzir dados para calibrar as alíquotas. A arrecadação do IBS no período financia o CGIBS e o Fundo de Compensação de Benefícios Fiscais (art. 125, § 3º).</w:t>
      </w:r>
    </w:p>
    <w:bookmarkEnd w:id="98"/>
    <w:bookmarkStart w:id="99" w:name="a-primeira-grande-virada"/>
    <w:p>
      <w:pPr>
        <w:pStyle w:val="Heading2"/>
      </w:pPr>
      <w:r>
        <w:t xml:space="preserve">8.2 2027–2028: a primeira grande virada</w:t>
      </w:r>
    </w:p>
    <w:p>
      <w:pPr>
        <w:pStyle w:val="FirstParagraph"/>
      </w:pPr>
      <w:r>
        <w:t xml:space="preserve">A partir de 2027 (ADCT, arts. 126 e 127):</w:t>
      </w:r>
    </w:p>
    <w:p>
      <w:pPr>
        <w:pStyle w:val="Compact"/>
        <w:numPr>
          <w:ilvl w:val="0"/>
          <w:numId w:val="1024"/>
        </w:numPr>
      </w:pPr>
      <w:r>
        <w:t xml:space="preserve">a CBS passa a ser cobrada efetivamente, e PIS e Cofins são extintos;</w:t>
      </w:r>
    </w:p>
    <w:p>
      <w:pPr>
        <w:pStyle w:val="Compact"/>
        <w:numPr>
          <w:ilvl w:val="0"/>
          <w:numId w:val="1024"/>
        </w:numPr>
      </w:pPr>
      <w:r>
        <w:t xml:space="preserve">as alíquotas do IPI são reduzidas a zero, exceto para produtos com industrialização incentivada na Zona Franca de Manaus;</w:t>
      </w:r>
    </w:p>
    <w:p>
      <w:pPr>
        <w:pStyle w:val="Compact"/>
        <w:numPr>
          <w:ilvl w:val="0"/>
          <w:numId w:val="1024"/>
        </w:numPr>
      </w:pPr>
      <w:r>
        <w:t xml:space="preserve">o Imposto Seletivo começa a ser cobrado;</w:t>
      </w:r>
    </w:p>
    <w:p>
      <w:pPr>
        <w:pStyle w:val="Compact"/>
        <w:numPr>
          <w:ilvl w:val="0"/>
          <w:numId w:val="1024"/>
        </w:numPr>
      </w:pPr>
      <w:r>
        <w:t xml:space="preserve">o IBS é cobrado a 0,05% (estadual) e 0,05% (municipal), e a CBS é reduzida em 0,1 ponto percentual para compensar;</w:t>
      </w:r>
    </w:p>
    <w:p>
      <w:pPr>
        <w:pStyle w:val="Compact"/>
        <w:numPr>
          <w:ilvl w:val="0"/>
          <w:numId w:val="1024"/>
        </w:numPr>
      </w:pPr>
      <w:r>
        <w:t xml:space="preserve">começa o</w:t>
      </w:r>
      <w:r>
        <w:t xml:space="preserve"> </w:t>
      </w:r>
      <w:r>
        <w:rPr>
          <w:i/>
          <w:iCs/>
        </w:rPr>
        <w:t xml:space="preserve">cashback</w:t>
      </w:r>
      <w:r>
        <w:t xml:space="preserve"> </w:t>
      </w:r>
      <w:r>
        <w:t xml:space="preserve">da CBS.</w:t>
      </w:r>
    </w:p>
    <w:p>
      <w:pPr>
        <w:pStyle w:val="FirstParagraph"/>
      </w:pPr>
      <w:r>
        <w:t xml:space="preserve">O ICMS e o ISS continuam integralmente em 2027 e 2028. Empresas passam a operar os dois modelos ao mesmo tempo.</w:t>
      </w:r>
    </w:p>
    <w:p>
      <w:pPr>
        <w:pStyle w:val="BodyText"/>
      </w:pPr>
      <w:r>
        <w:t xml:space="preserve">A alíquota de referência da CBS é fixada por resolução do Senado, com base em cálculo homologado pelo TCU (ADCT, art. 130, § 1º). Em 2026, o prazo para envio da proposta homologada ao Senado foi estendido até 30 de outubro (</w:t>
      </w:r>
      <w:hyperlink r:id="rId85">
        <w:r>
          <w:rPr>
            <w:rStyle w:val="Hyperlink"/>
          </w:rPr>
          <w:t xml:space="preserve">Contábeis, 2026</w:t>
        </w:r>
      </w:hyperlink>
      <w:r>
        <w:t xml:space="preserve">). Em outubro de 2026, as empresas ainda não conheciam a alíquota com que formariam os preços de 2027.</w:t>
      </w:r>
    </w:p>
    <w:bookmarkEnd w:id="99"/>
    <w:bookmarkStart w:id="100" w:name="a-substituição-gradual"/>
    <w:p>
      <w:pPr>
        <w:pStyle w:val="Heading2"/>
      </w:pPr>
      <w:r>
        <w:t xml:space="preserve">8.3 2029–2032: a substituição gradual</w:t>
      </w:r>
    </w:p>
    <w:p>
      <w:pPr>
        <w:pStyle w:val="FirstParagraph"/>
      </w:pPr>
      <w:r>
        <w:t xml:space="preserve">De 2029 a 2032, as alíquotas do ICMS e do ISS são fixadas em 9/10, 8/10, 7/10 e 6/10 das alíquotas vigentes (ADCT, art. 128). Os benefícios fiscais desses impostos são reduzidos na mesma proporção.</w:t>
      </w:r>
    </w:p>
    <w:p>
      <w:pPr>
        <w:pStyle w:val="BodyText"/>
      </w:pPr>
      <w:r>
        <w:t xml:space="preserve">O IBS cresce para repor a receita perdida, de modo que a arrecadação de Estados e Municípios se mantenha (art. 130, II e III). Nesse período, dois sistemas completos convivem, para contribuintes e administrações.</w:t>
      </w:r>
    </w:p>
    <w:bookmarkEnd w:id="100"/>
    <w:bookmarkStart w:id="101" w:name="o-modelo-integral"/>
    <w:p>
      <w:pPr>
        <w:pStyle w:val="Heading2"/>
      </w:pPr>
      <w:r>
        <w:t xml:space="preserve">8.4 2033: o modelo integral</w:t>
      </w:r>
    </w:p>
    <w:p>
      <w:pPr>
        <w:pStyle w:val="FirstParagraph"/>
      </w:pPr>
      <w:r>
        <w:t xml:space="preserve">Em 2033, o ICMS e o ISS são extintos (ADCT, art. 129). A tributação do consumo passa a se apoiar exclusivamente na CBS, no IBS e no Imposto Seletivo.</w:t>
      </w:r>
    </w:p>
    <w:p>
      <w:pPr>
        <w:pStyle w:val="BodyText"/>
      </w:pPr>
      <w:r>
        <w:t xml:space="preserve">Os saldos credores de ICMS existentes no fim de 2032, depois de homologados, serão compensados com o IBS, em regra em até 240 parcelas mensais (ADCT, art. 134).</w:t>
      </w:r>
    </w:p>
    <w:bookmarkEnd w:id="101"/>
    <w:bookmarkStart w:id="105" w:name="a-partilha-do-ibs-até-2077"/>
    <w:p>
      <w:pPr>
        <w:pStyle w:val="Heading2"/>
      </w:pPr>
      <w:r>
        <w:t xml:space="preserve">8.5 A partilha do IBS até 2077</w:t>
      </w:r>
    </w:p>
    <w:p>
      <w:pPr>
        <w:pStyle w:val="FirstParagraph"/>
      </w:pPr>
      <w:r>
        <w:drawing>
          <wp:inline>
            <wp:extent cx="5334000" cy="7801928"/>
            <wp:effectExtent b="0" l="0" r="0" t="0"/>
            <wp:docPr descr="" title="" id="103" name="Picture"/>
            <a:graphic>
              <a:graphicData uri="http://schemas.openxmlformats.org/drawingml/2006/picture">
                <pic:pic>
                  <pic:nvPicPr>
                    <pic:cNvPr descr="img/f07_quadro_anual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1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O que muda em cada ano até 2033.</w:t>
      </w:r>
      <w:r>
        <w:t xml:space="preserve"> </w:t>
      </w:r>
      <w:r>
        <w:t xml:space="preserve">Fonte: elaboração do autor, com base na EC 132/2023 (ADCT, arts. 125 a 129) e na LC 214/2025.</w:t>
      </w:r>
    </w:p>
    <w:p>
      <w:pPr>
        <w:pStyle w:val="BodyText"/>
      </w:pPr>
      <w:r>
        <w:t xml:space="preserve">A transição da partilha é muito mais longa que a dos tributos. De 2029 a 2077, parte da arrecadação do IBS é retida e distribuída conforme a receita média histórica de cada ente com ICMS e ISS (ADCT, art. 131):</w:t>
      </w:r>
    </w:p>
    <w:p>
      <w:pPr>
        <w:pStyle w:val="Compact"/>
        <w:numPr>
          <w:ilvl w:val="0"/>
          <w:numId w:val="1025"/>
        </w:numPr>
      </w:pPr>
      <w:r>
        <w:t xml:space="preserve">80% de 2029 a 2032;</w:t>
      </w:r>
    </w:p>
    <w:p>
      <w:pPr>
        <w:pStyle w:val="Compact"/>
        <w:numPr>
          <w:ilvl w:val="0"/>
          <w:numId w:val="1025"/>
        </w:numPr>
      </w:pPr>
      <w:r>
        <w:t xml:space="preserve">90% em 2033;</w:t>
      </w:r>
    </w:p>
    <w:p>
      <w:pPr>
        <w:pStyle w:val="Compact"/>
        <w:numPr>
          <w:ilvl w:val="0"/>
          <w:numId w:val="1025"/>
        </w:numPr>
      </w:pPr>
      <w:r>
        <w:t xml:space="preserve">de 2034 a 2077, o percentual de 2033 reduzido à razão de 1/45 por ano.</w:t>
      </w:r>
    </w:p>
    <w:p>
      <w:pPr>
        <w:pStyle w:val="FirstParagraph"/>
      </w:pPr>
      <w:r>
        <w:t xml:space="preserve">A parcela não retida segue o critério do destino. A partir de 2078, toda a receita é distribuída pelo destino.</w:t>
      </w:r>
    </w:p>
    <w:p>
      <w:pPr>
        <w:pStyle w:val="BodyText"/>
      </w:pPr>
      <w:r>
        <w:t xml:space="preserve">Há ainda um seguro-receita: 5% da arrecadação são retidos e destinados aos entes com maior perda relativa (ADCT, art. 132), percentual que será reduzido gradualmente entre 2078 e 2097.</w:t>
      </w:r>
    </w:p>
    <w:bookmarkEnd w:id="105"/>
    <w:bookmarkStart w:id="106" w:name="Xcfbaaabb40c75c2615f7aa4eb03987ac205ac85"/>
    <w:p>
      <w:pPr>
        <w:pStyle w:val="Heading2"/>
      </w:pPr>
      <w:r>
        <w:t xml:space="preserve">8.6 Riscos ao cronograma e o problema do longo prazo</w:t>
      </w:r>
    </w:p>
    <w:p>
      <w:pPr>
        <w:pStyle w:val="FirstParagraph"/>
      </w:pPr>
      <w:r>
        <w:t xml:space="preserve">O cronograma depende de três fatores ainda incertos: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sistema</w:t>
      </w:r>
      <w:r>
        <w:t xml:space="preserve"> </w:t>
      </w:r>
      <w:r>
        <w:t xml:space="preserve">— sem ele, não há</w:t>
      </w:r>
      <w:r>
        <w:t xml:space="preserve"> </w:t>
      </w:r>
      <w:r>
        <w:rPr>
          <w:i/>
          <w:iCs/>
        </w:rPr>
        <w:t xml:space="preserve">split payment</w:t>
      </w:r>
      <w:r>
        <w:t xml:space="preserve">,</w:t>
      </w:r>
      <w:r>
        <w:t xml:space="preserve"> </w:t>
      </w:r>
      <w:r>
        <w:rPr>
          <w:i/>
          <w:iCs/>
        </w:rPr>
        <w:t xml:space="preserve">cashback</w:t>
      </w:r>
      <w:r>
        <w:t xml:space="preserve"> </w:t>
      </w:r>
      <w:r>
        <w:t xml:space="preserve">nem apuração assistida (item 6.6);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alíquotas</w:t>
      </w:r>
      <w:r>
        <w:t xml:space="preserve"> </w:t>
      </w:r>
      <w:r>
        <w:t xml:space="preserve">— a de referência da CBS para 2027 ainda não estava fixada em outubro de 2026;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ambiente político</w:t>
      </w:r>
      <w:r>
        <w:t xml:space="preserve"> </w:t>
      </w:r>
      <w:r>
        <w:t xml:space="preserve">— a continuidade de uma política de longo prazo depende de sucessivos governos e legislaturas, e mudanças de orientação podem alterar prazos, alíquotas e regimes.</w:t>
      </w:r>
    </w:p>
    <w:p>
      <w:pPr>
        <w:pStyle w:val="FirstParagraph"/>
      </w:pPr>
      <w:r>
        <w:t xml:space="preserve">Um horizonte de cinquenta anos é incomum no Brasil, cujo histórico de estabilidade de políticas públicas é modesto. Nos últimos cinquenta anos, o país atravessou regime militar, nova Constituição, dois</w:t>
      </w:r>
      <w:r>
        <w:t xml:space="preserve"> </w:t>
      </w:r>
      <w:r>
        <w:rPr>
          <w:i/>
          <w:iCs/>
        </w:rPr>
        <w:t xml:space="preserve">impeachments</w:t>
      </w:r>
      <w:r>
        <w:t xml:space="preserve"> </w:t>
      </w:r>
      <w:r>
        <w:t xml:space="preserve">e sucessivas reformas.</w:t>
      </w:r>
    </w:p>
    <w:p>
      <w:pPr>
        <w:pStyle w:val="BodyText"/>
      </w:pPr>
      <w:r>
        <w:t xml:space="preserve">A construção europeia mostra que políticas de longo prazo são possíveis: da Declaração Schuman (1950) e da Comunidade Europeia do Carvão e do Aço (1951) até a União Europeia, transcorreram décadas de avanços graduais. A reforma exige o mesmo espírito: quem planta uma araucária não espera sentar-se à sua sombra.</w:t>
      </w:r>
    </w:p>
    <w:p>
      <w:pPr>
        <w:pStyle w:val="BodyText"/>
      </w:pPr>
      <w:r>
        <w:t xml:space="preserve">Concluir a transição de 2033 com o sistema funcionando já seria resultado expressivo.</w:t>
      </w:r>
    </w:p>
    <w:bookmarkEnd w:id="106"/>
    <w:bookmarkStart w:id="109" w:name="a-sobrevida-do-iss-e-do-icms"/>
    <w:p>
      <w:pPr>
        <w:pStyle w:val="Heading2"/>
      </w:pPr>
      <w:r>
        <w:t xml:space="preserve">8.7 A sobrevida do ISS e do ICMS</w:t>
      </w:r>
    </w:p>
    <w:p>
      <w:pPr>
        <w:pStyle w:val="FirstParagraph"/>
      </w:pPr>
      <w:r>
        <w:t xml:space="preserve">O fim da cobrança não encerra os créditos. Fatos geradores ocorridos até 31 de dezembro de 2032 podem ser lançados nos cinco anos seguintes (CTN, arts. 150, § 4º, e 173, I), o que permite novos lançamentos de ISS até 2037 ou 2038.</w:t>
      </w:r>
    </w:p>
    <w:p>
      <w:pPr>
        <w:pStyle w:val="BodyText"/>
      </w:pPr>
      <w:r>
        <w:t xml:space="preserve">Constituído o crédito, corre a prescrição de cinco anos para a cobrança (CTN, art. 174), sujeita a interrupções. Execuções fiscais de ISS atravessarão, portanto, a década de 2040.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home/claude/.local/quarto/share/formats/docx/note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Reflexo prático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procuradorias fiscais conviverão, por mais de uma década, com dois sistemas: o estoque de ISS e de ICMS e o novo IBS. Uma carreira inteira de procurador fiscal transcorrerá durante a transição.</w:t>
            </w:r>
          </w:p>
          <w:p/>
        </w:tc>
      </w:tr>
    </w:tbl>
    <w:bookmarkEnd w:id="109"/>
    <w:bookmarkEnd w:id="110"/>
    <w:bookmarkStart w:id="118" w:name="sec-cap09"/>
    <w:p>
      <w:pPr>
        <w:pStyle w:val="Heading1"/>
      </w:pPr>
      <w:r>
        <w:t xml:space="preserve">Capítulo 9 — Promessas, desafios e questões em aberto</w:t>
      </w:r>
    </w:p>
    <w:p>
      <w:pPr>
        <w:pStyle w:val="FirstParagraph"/>
      </w:pPr>
      <w:r>
        <w:t xml:space="preserve">O desenho é promissor, mas boa parte das promessas ainda não foi testada. Os maiores riscos estão no sistema, nos regimes diferenciados, na alíquota e na convivência de dois modelos; as maiores lacunas, na cobrança do IBS e na competência judicial.</w:t>
      </w:r>
    </w:p>
    <w:bookmarkStart w:id="114" w:name="o-que-se-promete"/>
    <w:p>
      <w:pPr>
        <w:pStyle w:val="Heading2"/>
      </w:pPr>
      <w:r>
        <w:t xml:space="preserve">9.1 O que se promete</w:t>
      </w:r>
    </w:p>
    <w:p>
      <w:pPr>
        <w:pStyle w:val="FirstParagraph"/>
      </w:pPr>
      <w:r>
        <w:drawing>
          <wp:inline>
            <wp:extent cx="5334000" cy="2600642"/>
            <wp:effectExtent b="0" l="0" r="0" t="0"/>
            <wp:docPr descr="" title="" id="112" name="Picture"/>
            <a:graphic>
              <a:graphicData uri="http://schemas.openxmlformats.org/drawingml/2006/picture">
                <pic:pic>
                  <pic:nvPicPr>
                    <pic:cNvPr descr="img/f08_diretrizes_desafios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0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Diretrizes e desafios da reforma.</w:t>
      </w:r>
      <w:r>
        <w:t xml:space="preserve"> </w:t>
      </w:r>
      <w:r>
        <w:t xml:space="preserve">Fonte: elaboração do autor; estimativa de alíquota: Resolução CGIBS nº 14/2026.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Diretriz</w:t>
            </w:r>
          </w:p>
        </w:tc>
        <w:tc>
          <w:tcPr/>
          <w:p>
            <w:pPr>
              <w:pStyle w:val="Compact"/>
            </w:pPr>
            <w:r>
              <w:t xml:space="preserve">Situação em outubro de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Lei nacional única para CBS e IBS</w:t>
            </w:r>
          </w:p>
        </w:tc>
        <w:tc>
          <w:tcPr/>
          <w:p>
            <w:pPr>
              <w:pStyle w:val="Compact"/>
            </w:pPr>
            <w:r>
              <w:t xml:space="preserve">Vigente (LC 214/2025 e LC 227/2026); aplicação efetiva a partir de 2027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 ampla: bens, serviços e direitos</w:t>
            </w:r>
          </w:p>
        </w:tc>
        <w:tc>
          <w:tcPr/>
          <w:p>
            <w:pPr>
              <w:pStyle w:val="Compact"/>
            </w:pPr>
            <w:r>
              <w:t xml:space="preserve">Vigente; ainda sem aplicação em escala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Crédito amplo</w:t>
            </w:r>
          </w:p>
        </w:tc>
        <w:tc>
          <w:tcPr/>
          <w:p>
            <w:pPr>
              <w:pStyle w:val="Compact"/>
            </w:pPr>
            <w:r>
              <w:t xml:space="preserve">Previsto; IPI e ICMS também o prometeram e não o concretizaram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Cobrança no destino</w:t>
            </w:r>
          </w:p>
        </w:tc>
        <w:tc>
          <w:tcPr/>
          <w:p>
            <w:pPr>
              <w:pStyle w:val="Compact"/>
            </w:pPr>
            <w:r>
              <w:t xml:space="preserve">Prevista; partilha em transição até 2077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Documento fiscal nacional</w:t>
            </w:r>
          </w:p>
        </w:tc>
        <w:tc>
          <w:tcPr/>
          <w:p>
            <w:pPr>
              <w:pStyle w:val="Compact"/>
            </w:pPr>
            <w:r>
              <w:t xml:space="preserve">Em funcionamento, com implantação ainda incompleta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Split payment</w:t>
            </w:r>
          </w:p>
        </w:tc>
        <w:tc>
          <w:tcPr/>
          <w:p>
            <w:pPr>
              <w:pStyle w:val="Compact"/>
            </w:pPr>
            <w:r>
              <w:t xml:space="preserve">Adiado; início opcional, restrito a operações entre empresas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Cashback</w:t>
            </w:r>
          </w:p>
        </w:tc>
        <w:tc>
          <w:tcPr/>
          <w:p>
            <w:pPr>
              <w:pStyle w:val="Compact"/>
            </w:pPr>
            <w:r>
              <w:t xml:space="preserve">CBS a partir de 2027; IBS a partir de 2029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Gestão compartilhada no CGIBS</w:t>
            </w:r>
          </w:p>
        </w:tc>
        <w:tc>
          <w:tcPr/>
          <w:p>
            <w:pPr>
              <w:pStyle w:val="Compact"/>
            </w:pPr>
            <w:r>
              <w:t xml:space="preserve">Instituído; em estruturação</w:t>
            </w:r>
          </w:p>
        </w:tc>
      </w:tr>
    </w:tbl>
    <w:bookmarkEnd w:id="114"/>
    <w:bookmarkStart w:id="115" w:name="os-desafios"/>
    <w:p>
      <w:pPr>
        <w:pStyle w:val="Heading2"/>
      </w:pPr>
      <w:r>
        <w:t xml:space="preserve">9.2 Os desafios</w:t>
      </w:r>
    </w:p>
    <w:p>
      <w:pPr>
        <w:pStyle w:val="FirstParagraph"/>
      </w:pPr>
      <w:r>
        <w:rPr>
          <w:b/>
          <w:bCs/>
        </w:rPr>
        <w:t xml:space="preserve">1. O sistema.</w:t>
      </w:r>
      <w:r>
        <w:t xml:space="preserve"> </w:t>
      </w:r>
      <w:r>
        <w:t xml:space="preserve">Processar todas as operações do país em tempo real é o maior desafio técnico da reforma (item 6.6).</w:t>
      </w:r>
    </w:p>
    <w:p>
      <w:pPr>
        <w:pStyle w:val="BodyText"/>
      </w:pPr>
      <w:r>
        <w:rPr>
          <w:b/>
          <w:bCs/>
        </w:rPr>
        <w:t xml:space="preserve">2. Regimes diferenciados e específicos.</w:t>
      </w:r>
      <w:r>
        <w:t xml:space="preserve"> </w:t>
      </w:r>
      <w:r>
        <w:t xml:space="preserve">A EC 132/2023 já prevê reduções de 30%, 60% e 100% das alíquotas para diversos bens e serviços (art. 9º). Há também regimes específicos para combustíveis, serviços financeiros, operações com imóveis, planos de saúde, cooperativas, bares e restaurantes, hotelaria e turismo, entre outros (CF, art. 156-A, § 6º).</w:t>
      </w:r>
    </w:p>
    <w:p>
      <w:pPr>
        <w:pStyle w:val="BodyText"/>
      </w:pPr>
      <w:r>
        <w:t xml:space="preserve">Cada exceção recria o incentivo ao enquadramento artificial. Assim como confeitos viraram</w:t>
      </w:r>
      <w:r>
        <w:t xml:space="preserve"> </w:t>
      </w:r>
      <w:r>
        <w:t xml:space="preserve">“wafers”</w:t>
      </w:r>
      <w:r>
        <w:t xml:space="preserve"> </w:t>
      </w:r>
      <w:r>
        <w:t xml:space="preserve">para pagar menos IPI, uma empresa de cursos livres pode apresentar-se como instituição de ensino para obter a redução de 60% dos serviços de educação.</w:t>
      </w:r>
    </w:p>
    <w:p>
      <w:pPr>
        <w:pStyle w:val="BodyText"/>
      </w:pPr>
      <w:r>
        <w:t xml:space="preserve">Exceções exigem fiscalização e geram litígio; se multiplicadas, devolvem o sistema à complexidade que se quis eliminar. A EC 132/2023 prevê avaliação quinquenal de custo-benefício desses regimes (art. 9º, § 10).</w:t>
      </w:r>
    </w:p>
    <w:p>
      <w:pPr>
        <w:pStyle w:val="BodyText"/>
      </w:pPr>
      <w:r>
        <w:rPr>
          <w:b/>
          <w:bCs/>
        </w:rPr>
        <w:t xml:space="preserve">3. A alíquota.</w:t>
      </w:r>
      <w:r>
        <w:t xml:space="preserve"> </w:t>
      </w:r>
      <w:r>
        <w:t xml:space="preserve">Pela Resolução CGIBS nº 14, de 29 de julho de 2026, o Comitê Gestor estimou a alíquota de referência conjunta em 27,91% — 18,70 pontos de IBS e 9,21 de CBS (</w:t>
      </w:r>
      <w:hyperlink r:id="rId85">
        <w:r>
          <w:rPr>
            <w:rStyle w:val="Hyperlink"/>
          </w:rPr>
          <w:t xml:space="preserve">Contábeis, 2026</w:t>
        </w:r>
      </w:hyperlink>
      <w:r>
        <w:t xml:space="preserve">). A estimativa tem fim orçamentário e não é a alíquota oficial, que será fixada pelo Senado com base em cálculos homologados pelo TCU.</w:t>
      </w:r>
    </w:p>
    <w:p>
      <w:pPr>
        <w:pStyle w:val="BodyText"/>
      </w:pPr>
      <w:r>
        <w:t xml:space="preserve">O número supera o limite de 26,5% da LC 214/2025. Confirmada a superação, o Poder Executivo, ouvido o CGIBS, deverá propor ao Congresso medidas para reduzir a alíquota. Se mantida, seria superior à maior alíquota-padrão de IVA hoje aplicada na Europa, a da Hungria (27%).</w:t>
      </w:r>
    </w:p>
    <w:p>
      <w:pPr>
        <w:pStyle w:val="BodyText"/>
      </w:pPr>
      <w:r>
        <w:rPr>
          <w:b/>
          <w:bCs/>
        </w:rPr>
        <w:t xml:space="preserve">4. Dois sistemas em convivência.</w:t>
      </w:r>
      <w:r>
        <w:t xml:space="preserve"> </w:t>
      </w:r>
      <w:r>
        <w:t xml:space="preserve">De 2027 a 2032, contribuintes e administrações operarão simultaneamente o modelo antigo e o novo — e as procuradorias, por muito mais tempo (item 8.7). Estruturas, sistemas e equipes terão de funcionar em duplicidade.</w:t>
      </w:r>
    </w:p>
    <w:bookmarkEnd w:id="115"/>
    <w:bookmarkStart w:id="116" w:name="perguntas-ainda-sem-resposta"/>
    <w:p>
      <w:pPr>
        <w:pStyle w:val="Heading2"/>
      </w:pPr>
      <w:r>
        <w:t xml:space="preserve">9.3 Perguntas ainda sem resposta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Pergunta</w:t>
            </w:r>
          </w:p>
        </w:tc>
        <w:tc>
          <w:tcPr/>
          <w:p>
            <w:pPr>
              <w:pStyle w:val="Compact"/>
            </w:pPr>
            <w:r>
              <w:t xml:space="preserve">Situação em outubro de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Quem inscreve o IBS em dívida ativa?</w:t>
            </w:r>
          </w:p>
        </w:tc>
        <w:tc>
          <w:tcPr/>
          <w:p>
            <w:pPr>
              <w:pStyle w:val="Compact"/>
            </w:pPr>
            <w:r>
              <w:t xml:space="preserve">Indefinido; discute-se se a inscrição caberá ao CGIBS ou aos entes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Qual ente cobra cada crédito de IBS?</w:t>
            </w:r>
          </w:p>
        </w:tc>
        <w:tc>
          <w:tcPr/>
          <w:p>
            <w:pPr>
              <w:pStyle w:val="Compact"/>
            </w:pPr>
            <w:r>
              <w:t xml:space="preserve">Cobrança pelas procuradorias dos entes (CF, art. 156-B, § 2º, V); critério de reparto ainda em debate, em tese o destino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Qual Justiça julgará ações e execuções?</w:t>
            </w:r>
          </w:p>
        </w:tc>
        <w:tc>
          <w:tcPr/>
          <w:p>
            <w:pPr>
              <w:pStyle w:val="Compact"/>
            </w:pPr>
            <w:r>
              <w:t xml:space="preserve">Sem definição. Conflitos entre entes e com o CGIBS cabem ao STJ (CF, art. 105, I, j); a ideia de uma justiça própria para o IBS não prosperou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Qual será a alíquota?</w:t>
            </w:r>
          </w:p>
        </w:tc>
        <w:tc>
          <w:tcPr/>
          <w:p>
            <w:pPr>
              <w:pStyle w:val="Compact"/>
            </w:pPr>
            <w:r>
              <w:t xml:space="preserve">Cada ente fixa a sua; referência estimada em 27,91% para fins orçamentários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carga vai aumentar?</w:t>
            </w:r>
          </w:p>
        </w:tc>
        <w:tc>
          <w:tcPr/>
          <w:p>
            <w:pPr>
              <w:pStyle w:val="Compact"/>
            </w:pPr>
            <w:r>
              <w:t xml:space="preserve">Meta de neutralidade, com tetos de referência (ADCT, art. 130) e revisão se a soma passar de 26,5%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Como o CGIBS vai operar?</w:t>
            </w:r>
          </w:p>
        </w:tc>
        <w:tc>
          <w:tcPr/>
          <w:p>
            <w:pPr>
              <w:pStyle w:val="Compact"/>
            </w:pPr>
            <w:r>
              <w:t xml:space="preserve">Instituído pela LC 227/2026; sede, sistemas e regulamentos em implantação</w:t>
            </w:r>
          </w:p>
        </w:tc>
      </w:tr>
    </w:tbl>
    <w:p>
      <w:pPr>
        <w:pStyle w:val="BodyText"/>
      </w:pPr>
      <w:r>
        <w:t xml:space="preserve">A questão judicial é especialmente delicada. Durante a transição, parte do IBS arrecadado é repartida entre todos os entes (item 8.5); uma discussão judicial sobre o imposto interessa, em alguma medida, a todos eles.</w:t>
      </w:r>
    </w:p>
    <w:p>
      <w:pPr>
        <w:pStyle w:val="BodyText"/>
      </w:pPr>
      <w:r>
        <w:t xml:space="preserve">Incluir todos os entes interessados no polo passivo é inviável. Propostas do STF, do STJ, do CGIBS e das procuradorias ainda divergem sobre contra quem e onde o contribuinte litigará.</w:t>
      </w:r>
    </w:p>
    <w:bookmarkEnd w:id="116"/>
    <w:bookmarkStart w:id="117" w:name="tensões-institucionais"/>
    <w:p>
      <w:pPr>
        <w:pStyle w:val="Heading2"/>
      </w:pPr>
      <w:r>
        <w:t xml:space="preserve">9.4 Tensões institucionais</w:t>
      </w:r>
    </w:p>
    <w:p>
      <w:pPr>
        <w:pStyle w:val="FirstParagraph"/>
      </w:pPr>
      <w:r>
        <w:t xml:space="preserve">A reforma está no papel; quem a implementa são pessoas — auditores, procuradores e servidores das três esferas. A implementação depende da cooperação entre administrações tributárias, procuradorias e entes de portes distintos, com interesses nem sempre coincidentes, como os de Municípios grandes e pequenos na composição do CGIBS.</w:t>
      </w:r>
    </w:p>
    <w:p>
      <w:pPr>
        <w:pStyle w:val="BodyText"/>
      </w:pPr>
      <w:r>
        <w:t xml:space="preserve">O desenho constitucional torna essa cooperação obrigatória. Procuradorias que antes mantinham relação apenas formal passaram a precisar cooperar; o Conap e os convênios de cobrança conjunta refletem essa necessidade.</w:t>
      </w:r>
    </w:p>
    <w:bookmarkEnd w:id="117"/>
    <w:bookmarkEnd w:id="118"/>
    <w:bookmarkStart w:id="125" w:name="sec-cap10"/>
    <w:p>
      <w:pPr>
        <w:pStyle w:val="Heading1"/>
      </w:pPr>
      <w:r>
        <w:t xml:space="preserve">Capítulo 10 — Impactos para as procuradorias fiscais e para a advocacia pública</w:t>
      </w:r>
    </w:p>
    <w:p>
      <w:pPr>
        <w:pStyle w:val="FirstParagraph"/>
      </w:pPr>
      <w:r>
        <w:t xml:space="preserve">A reforma atinge primeiro as procuradorias fiscais, mas alcança toda a advocacia pública de Estados e Municípios: a cobrança do estoque de ISS e de ICMS, a atuação conjunta entre entes no IBS, o novo contencioso e a revisão de licitações e contratos.</w:t>
      </w:r>
    </w:p>
    <w:bookmarkStart w:id="119" w:name="a-procuradoria-como-órgão-de-arrecadação"/>
    <w:p>
      <w:pPr>
        <w:pStyle w:val="Heading2"/>
      </w:pPr>
      <w:r>
        <w:t xml:space="preserve">10.1 A procuradoria como órgão de arrecadação</w:t>
      </w:r>
    </w:p>
    <w:p>
      <w:pPr>
        <w:pStyle w:val="FirstParagraph"/>
      </w:pPr>
      <w:r>
        <w:t xml:space="preserve">A arrecadação cabe principalmente às secretarias de fazenda ou de finanças, mas as procuradorias também arrecadam: por meio da cobrança da dívida ativa, dos parcelamentos e da conversão em renda de depósitos judiciais em ações vencidas. Em entes de maior porte, esse volume é relevante em relação às receitas próprias.</w:t>
      </w:r>
    </w:p>
    <w:p>
      <w:pPr>
        <w:pStyle w:val="BodyText"/>
      </w:pPr>
      <w:r>
        <w:t xml:space="preserve">A função da cobrança não é apenas arrecadatória. É também pedagógica e de isonomia:</w:t>
      </w:r>
    </w:p>
    <w:p>
      <w:pPr>
        <w:pStyle w:val="Compact"/>
        <w:numPr>
          <w:ilvl w:val="0"/>
          <w:numId w:val="1027"/>
        </w:numPr>
      </w:pPr>
      <w:r>
        <w:t xml:space="preserve">o contribuinte que paga com esforço um IPTU de algumas centenas de reais observa o vizinho inadimplente;</w:t>
      </w:r>
    </w:p>
    <w:p>
      <w:pPr>
        <w:pStyle w:val="Compact"/>
        <w:numPr>
          <w:ilvl w:val="0"/>
          <w:numId w:val="1027"/>
        </w:numPr>
      </w:pPr>
      <w:r>
        <w:t xml:space="preserve">se a inadimplência não tiver consequência — inscrição em dívida ativa, protesto, restrição de crédito, penhora —, quem paga tende a deixar de pagar;</w:t>
      </w:r>
    </w:p>
    <w:p>
      <w:pPr>
        <w:pStyle w:val="Compact"/>
        <w:numPr>
          <w:ilvl w:val="0"/>
          <w:numId w:val="1027"/>
        </w:numPr>
      </w:pPr>
      <w:r>
        <w:t xml:space="preserve">para cada devedor, há muitos contribuintes que cumprem a obrigação e esperam que o ente cobre os demais.</w:t>
      </w:r>
    </w:p>
    <w:p>
      <w:pPr>
        <w:pStyle w:val="FirstParagraph"/>
      </w:pPr>
      <w:r>
        <w:t xml:space="preserve">A eficiência medida em números e processos importa, mas não esgota o papel institucional da procuradoria, que é também o de assegurar que o descumprimento não compense.</w:t>
      </w:r>
    </w:p>
    <w:bookmarkEnd w:id="119"/>
    <w:bookmarkStart w:id="120" w:name="o-estoque-de-iss-e-de-icms"/>
    <w:p>
      <w:pPr>
        <w:pStyle w:val="Heading2"/>
      </w:pPr>
      <w:r>
        <w:t xml:space="preserve">10.2 O estoque de ISS e de ICMS</w:t>
      </w:r>
    </w:p>
    <w:p>
      <w:pPr>
        <w:pStyle w:val="FirstParagraph"/>
      </w:pPr>
      <w:r>
        <w:t xml:space="preserve">O ISS e o ICMS de fatos geradores até 2032 seguirão cobráveis muito depois de sua extinção: novos lançamentos até 2037 ou 2038 e cobrança judicial ao longo da década de 2040 (item 8.7). As procuradorias precisarão manter estrutura para esse estoque enquanto assumem as atribuições relativas ao IBS.</w:t>
      </w:r>
    </w:p>
    <w:bookmarkEnd w:id="120"/>
    <w:bookmarkStart w:id="121" w:name="X8b1b7284c4e7ac398ae3b6d96523891a9fc4cd2"/>
    <w:p>
      <w:pPr>
        <w:pStyle w:val="Heading2"/>
      </w:pPr>
      <w:r>
        <w:t xml:space="preserve">10.3 Cooperação entre procuradorias estaduais e municipais</w:t>
      </w:r>
    </w:p>
    <w:p>
      <w:pPr>
        <w:pStyle w:val="FirstParagraph"/>
      </w:pPr>
      <w:r>
        <w:t xml:space="preserve">A Constituição permite que os entes deleguem ou compartilhem competências de fiscalização, lançamento e cobrança do IBS (art. 156-B, § 2º, V). Abre-se espaço, portanto, para termos de cooperação entre procuradorias estaduais e municipais, que podem prever:</w:t>
      </w:r>
    </w:p>
    <w:p>
      <w:pPr>
        <w:pStyle w:val="Compact"/>
        <w:numPr>
          <w:ilvl w:val="0"/>
          <w:numId w:val="1028"/>
        </w:numPr>
      </w:pPr>
      <w:r>
        <w:t xml:space="preserve">a cobrança judicial e extrajudicial do IBS;</w:t>
      </w:r>
    </w:p>
    <w:p>
      <w:pPr>
        <w:pStyle w:val="Compact"/>
        <w:numPr>
          <w:ilvl w:val="0"/>
          <w:numId w:val="1028"/>
        </w:numPr>
      </w:pPr>
      <w:r>
        <w:t xml:space="preserve">a defesa administrativa e judicial relacionada ao imposto;</w:t>
      </w:r>
    </w:p>
    <w:p>
      <w:pPr>
        <w:pStyle w:val="Compact"/>
        <w:numPr>
          <w:ilvl w:val="0"/>
          <w:numId w:val="1028"/>
        </w:numPr>
      </w:pPr>
      <w:r>
        <w:t xml:space="preserve">em hipóteses ainda a definir, o lançamento e a inscrição conjuntos em dívida ativa.</w:t>
      </w:r>
    </w:p>
    <w:p>
      <w:pPr>
        <w:pStyle w:val="FirstParagraph"/>
      </w:pPr>
      <w:r>
        <w:t xml:space="preserve">A execução desses instrumentos exigirá integração de sistemas e de equipes entre os entes, e os pontos em aberto (item 9.3) condicionam seu alcance. O Conap é o foro natural para a troca de experiências e a uniformização de entendimentos.</w:t>
      </w:r>
    </w:p>
    <w:bookmarkEnd w:id="121"/>
    <w:bookmarkStart w:id="123" w:name="o-contencioso-já-começou"/>
    <w:p>
      <w:pPr>
        <w:pStyle w:val="Heading2"/>
      </w:pPr>
      <w:r>
        <w:t xml:space="preserve">10.4 O contencioso já começou</w:t>
      </w:r>
    </w:p>
    <w:p>
      <w:pPr>
        <w:pStyle w:val="FirstParagraph"/>
      </w:pPr>
      <w:r>
        <w:t xml:space="preserve">Embora o IBS e a CBS ainda estejam em fase de teste, já há ações judiciais sobre sua incidência. Em setembro de 2026, noticiou-se decisão liminar de primeiro grau, no Tribunal de Justiça de São Paulo, que autorizou contribuinte a apurar o ICMS sem incluir IBS e CBS na base de cálculo a partir de 2027 (</w:t>
      </w:r>
      <w:hyperlink r:id="rId122">
        <w:r>
          <w:rPr>
            <w:rStyle w:val="Hyperlink"/>
          </w:rPr>
          <w:t xml:space="preserve">Tributário nos Bastidores, 2026</w:t>
        </w:r>
      </w:hyperlink>
      <w:r>
        <w:t xml:space="preserve">). O fundamento foi a reserva de lei complementar para a definição da base do ICMS.</w:t>
      </w:r>
    </w:p>
    <w:p>
      <w:pPr>
        <w:pStyle w:val="BodyText"/>
      </w:pPr>
      <w:r>
        <w:t xml:space="preserve">O volume de ações tende a crescer com a cobrança efetiva, a partir de 2027, o que reforça a necessidade de preparo das procuradorias.</w:t>
      </w:r>
    </w:p>
    <w:bookmarkEnd w:id="123"/>
    <w:bookmarkStart w:id="124" w:name="Xda9624f1cf48e2034941729969048c6eff049d6"/>
    <w:p>
      <w:pPr>
        <w:pStyle w:val="Heading2"/>
      </w:pPr>
      <w:r>
        <w:t xml:space="preserve">10.5 Reflexos sobre outras áreas da advocacia pública</w:t>
      </w:r>
    </w:p>
    <w:p>
      <w:pPr>
        <w:pStyle w:val="FirstParagraph"/>
      </w:pPr>
      <w:r>
        <w:t xml:space="preserve">A reforma não se limita às procuradorias fiscais: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licitações e contratos</w:t>
      </w:r>
      <w:r>
        <w:t xml:space="preserve"> </w:t>
      </w:r>
      <w:r>
        <w:t xml:space="preserve">— com a substituição de PIS e Cofins pela CBS em 2027, contratos em curso exigirão revisão e reequilíbrio econômico-financeiro; os pedidos devem surgir já em janeiro de 2027, e lei complementar pode prever instrumentos de ajuste (EC 132/2023, art. 21);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compras públicas</w:t>
      </w:r>
      <w:r>
        <w:t xml:space="preserve"> </w:t>
      </w:r>
      <w:r>
        <w:t xml:space="preserve">— o IBS e a CBS incidentes sobre aquisições da administração direta, de autarquias e de fundações pertencem integralmente ao ente contratante, mediante redução a zero das alíquotas dos demais entes (CF, art. 149-C); nessas compras, o fato gerador ocorre no pagamento (LC 214/2025, art. 10, § 2º);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contencioso de contratos</w:t>
      </w:r>
      <w:r>
        <w:t xml:space="preserve"> </w:t>
      </w:r>
      <w:r>
        <w:t xml:space="preserve">— litígios sobre reequilíbrio e preços chegarão às áreas que atuam em licitações e contratos;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pessoal e terceirização</w:t>
      </w:r>
      <w:r>
        <w:t xml:space="preserve"> </w:t>
      </w:r>
      <w:r>
        <w:t xml:space="preserve">— contratos de terceirização de mão de obra também serão afetados, ainda que em menor medida.</w:t>
      </w:r>
    </w:p>
    <w:p>
      <w:pPr>
        <w:pStyle w:val="FirstParagraph"/>
      </w:pPr>
      <w:r>
        <w:t xml:space="preserve">Por isso, a capacitação sobre a reforma deve alcançar também as áreas consultiva e de licitações e contratos.</w:t>
      </w:r>
    </w:p>
    <w:bookmarkEnd w:id="124"/>
    <w:bookmarkEnd w:id="125"/>
    <w:bookmarkStart w:id="137" w:name="sec-cap11"/>
    <w:p>
      <w:pPr>
        <w:pStyle w:val="Heading1"/>
      </w:pPr>
      <w:r>
        <w:t xml:space="preserve">Capítulo 11 — Para além da reforma do consumo: a cobrança da dívida ativa em transformação</w:t>
      </w:r>
    </w:p>
    <w:p>
      <w:pPr>
        <w:pStyle w:val="FirstParagraph"/>
      </w:pPr>
      <w:r>
        <w:t xml:space="preserve">Paralelamente à reforma do consumo, a LC 236/2026 alterou o CTN e impôs novos deveres à constituição e à cobrança do crédito tributário. Somadas ao projeto de nova Lei de Execução Fiscal e à pressão por cobrança seletiva, essas mudanças exigem a reestruturação das procuradorias fiscais.</w:t>
      </w:r>
    </w:p>
    <w:bookmarkStart w:id="128" w:name="a-lc-2362026"/>
    <w:p>
      <w:pPr>
        <w:pStyle w:val="Heading2"/>
      </w:pPr>
      <w:r>
        <w:t xml:space="preserve">11.1 A LC 236/2026</w:t>
      </w:r>
    </w:p>
    <w:p>
      <w:pPr>
        <w:pStyle w:val="FirstParagraph"/>
      </w:pPr>
      <w:r>
        <w:t xml:space="preserve">Originada do PLP 124/2022, a LC 236/2026 foi publicada em 4 de setembro de 2026 e entrou em vigor na mesma data. Criou no CTN um capítulo de normas gerais sobre processo administrativo fiscal (arts. 208-A a 208-J) e alterou regras de multas, precedentes, prescrição e dívida ativa (</w:t>
      </w:r>
      <w:hyperlink r:id="rId126">
        <w:r>
          <w:rPr>
            <w:rStyle w:val="Hyperlink"/>
          </w:rPr>
          <w:t xml:space="preserve">Tributário nos Bastidores, 2026</w:t>
        </w:r>
      </w:hyperlink>
      <w:r>
        <w:t xml:space="preserve">;</w:t>
      </w:r>
      <w:r>
        <w:t xml:space="preserve"> </w:t>
      </w:r>
      <w:hyperlink r:id="rId127">
        <w:r>
          <w:rPr>
            <w:rStyle w:val="Hyperlink"/>
          </w:rPr>
          <w:t xml:space="preserve">KLA Advogados, 2026</w:t>
        </w:r>
      </w:hyperlink>
      <w:r>
        <w:t xml:space="preserve">).</w:t>
      </w:r>
    </w:p>
    <w:p>
      <w:pPr>
        <w:pStyle w:val="BodyText"/>
      </w:pPr>
      <w:r>
        <w:t xml:space="preserve">União, Estados, DF e Municípios têm dois anos para adaptar sua legislação. Não o fazendo, aplicam-se diretamente as normas gerais do CTN (arts. 211-A e 211-B).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Tema</w:t>
            </w:r>
          </w:p>
        </w:tc>
        <w:tc>
          <w:tcPr/>
          <w:p>
            <w:pPr>
              <w:pStyle w:val="Compact"/>
            </w:pPr>
            <w:r>
              <w:t xml:space="preserve">Regra</w:t>
            </w:r>
          </w:p>
        </w:tc>
        <w:tc>
          <w:tcPr/>
          <w:p>
            <w:pPr>
              <w:pStyle w:val="Compact"/>
            </w:pPr>
            <w:r>
              <w:t xml:space="preserve">CTN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Controle de legalidade da inscrição</w:t>
            </w:r>
          </w:p>
        </w:tc>
        <w:tc>
          <w:tcPr/>
          <w:p>
            <w:pPr>
              <w:pStyle w:val="Compact"/>
            </w:pPr>
            <w:r>
              <w:t xml:space="preserve">Direito do contribuinte e dever da Fazenda; análise de certeza, liquidez e exigibilidade</w:t>
            </w:r>
          </w:p>
        </w:tc>
        <w:tc>
          <w:tcPr/>
          <w:p>
            <w:pPr>
              <w:pStyle w:val="Compact"/>
            </w:pPr>
            <w:r>
              <w:t xml:space="preserve">art. 201, § 2º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Prazo para inscrição</w:t>
            </w:r>
          </w:p>
        </w:tc>
        <w:tc>
          <w:tcPr/>
          <w:p>
            <w:pPr>
              <w:pStyle w:val="Compact"/>
            </w:pPr>
            <w:r>
              <w:t xml:space="preserve">Encaminhamento em 90 dias úteis, em regra (120 para bons pagadores; 60 para maus pagadores)</w:t>
            </w:r>
          </w:p>
        </w:tc>
        <w:tc>
          <w:tcPr/>
          <w:p>
            <w:pPr>
              <w:pStyle w:val="Compact"/>
            </w:pPr>
            <w:r>
              <w:t xml:space="preserve">art. 201, § 3º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Precedentes vinculantes</w:t>
            </w:r>
          </w:p>
        </w:tc>
        <w:tc>
          <w:tcPr/>
          <w:p>
            <w:pPr>
              <w:pStyle w:val="Compact"/>
            </w:pPr>
            <w:r>
              <w:t xml:space="preserve">Vinculam a Administração; vedada a inscrição de crédito fundado em matéria decidida a favor do contribuinte</w:t>
            </w:r>
          </w:p>
        </w:tc>
        <w:tc>
          <w:tcPr/>
          <w:p>
            <w:pPr>
              <w:pStyle w:val="Compact"/>
            </w:pPr>
            <w:r>
              <w:t xml:space="preserve">arts. 194-A e 208-G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Processo administrativo fiscal</w:t>
            </w:r>
          </w:p>
        </w:tc>
        <w:tc>
          <w:tcPr/>
          <w:p>
            <w:pPr>
              <w:pStyle w:val="Compact"/>
            </w:pPr>
            <w:r>
              <w:t xml:space="preserve">Normas gerais nacionais; duplo grau obrigatório em entes com mais de 100 mil habitantes; prazos de 20 dias úteis</w:t>
            </w:r>
          </w:p>
        </w:tc>
        <w:tc>
          <w:tcPr/>
          <w:p>
            <w:pPr>
              <w:pStyle w:val="Compact"/>
            </w:pPr>
            <w:r>
              <w:t xml:space="preserve">arts. 208-A a 208-J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Multas</w:t>
            </w:r>
          </w:p>
        </w:tc>
        <w:tc>
          <w:tcPr/>
          <w:p>
            <w:pPr>
              <w:pStyle w:val="Compact"/>
            </w:pPr>
            <w:r>
              <w:t xml:space="preserve">Teto de 75% (100% em dolo, fraude ou conluio; 150% na reincidência); reduções por pagamento ou parcelamento antes da inscrição</w:t>
            </w:r>
          </w:p>
        </w:tc>
        <w:tc>
          <w:tcPr/>
          <w:p>
            <w:pPr>
              <w:pStyle w:val="Compact"/>
            </w:pPr>
            <w:r>
              <w:t xml:space="preserve">arts. 113-A e 142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Denúncia espontânea</w:t>
            </w:r>
          </w:p>
        </w:tc>
        <w:tc>
          <w:tcPr/>
          <w:p>
            <w:pPr>
              <w:pStyle w:val="Compact"/>
            </w:pPr>
            <w:r>
              <w:t xml:space="preserve">Afasta também a multa de mora</w:t>
            </w:r>
          </w:p>
        </w:tc>
        <w:tc>
          <w:tcPr/>
          <w:p>
            <w:pPr>
              <w:pStyle w:val="Compact"/>
            </w:pPr>
            <w:r>
              <w:t xml:space="preserve">art. 138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Prescrição</w:t>
            </w:r>
          </w:p>
        </w:tc>
        <w:tc>
          <w:tcPr/>
          <w:p>
            <w:pPr>
              <w:pStyle w:val="Compact"/>
            </w:pPr>
            <w:r>
              <w:t xml:space="preserve">Novas causas de interrupção: protesto da CDA, mediação, arbitragem e habilitação em falência, entre outras</w:t>
            </w:r>
          </w:p>
        </w:tc>
        <w:tc>
          <w:tcPr/>
          <w:p>
            <w:pPr>
              <w:pStyle w:val="Compact"/>
            </w:pPr>
            <w:r>
              <w:t xml:space="preserve">art. 174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Suspensão da exigibilidade</w:t>
            </w:r>
          </w:p>
        </w:tc>
        <w:tc>
          <w:tcPr/>
          <w:p>
            <w:pPr>
              <w:pStyle w:val="Compact"/>
            </w:pPr>
            <w:r>
              <w:t xml:space="preserve">Aceitação de seguro-garantia ou fiança em execução fiscal suspende a cobrança</w:t>
            </w:r>
          </w:p>
        </w:tc>
        <w:tc>
          <w:tcPr/>
          <w:p>
            <w:pPr>
              <w:pStyle w:val="Compact"/>
            </w:pPr>
            <w:r>
              <w:t xml:space="preserve">art. 151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Corresponsáveis</w:t>
            </w:r>
          </w:p>
        </w:tc>
        <w:tc>
          <w:tcPr/>
          <w:p>
            <w:pPr>
              <w:pStyle w:val="Compact"/>
            </w:pPr>
            <w:r>
              <w:t xml:space="preserve">Vetada a regra que condicionava sua indicação na CDA a prévia apuração; vetos pendentes de apreciação pelo Congresso</w:t>
            </w:r>
          </w:p>
        </w:tc>
        <w:tc>
          <w:tcPr/>
          <w:p>
            <w:pPr>
              <w:pStyle w:val="Compact"/>
            </w:pPr>
            <w:r>
              <w:t xml:space="preserve">art. 142 (vetado)</w:t>
            </w:r>
          </w:p>
        </w:tc>
      </w:tr>
    </w:tbl>
    <w:p>
      <w:pPr>
        <w:pStyle w:val="BodyText"/>
      </w:pPr>
      <w:r>
        <w:t xml:space="preserve">Consequências para as procuradorias: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inscrição</w:t>
      </w:r>
      <w:r>
        <w:t xml:space="preserve"> </w:t>
      </w:r>
      <w:r>
        <w:t xml:space="preserve">— o controle de legalidade deixa de ser formal e passa a ser direito do contribuinte, que poderá provocá-lo e apresentar documentos; a inscrição precisa observar prazos e precedentes vinculantes;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créditos não tributários</w:t>
      </w:r>
      <w:r>
        <w:t xml:space="preserve"> </w:t>
      </w:r>
      <w:r>
        <w:t xml:space="preserve">— a mesma lógica recomenda maior rigor na inscrição de créditos como multas urbanísticas, para evitar execuções perdidas por títulos frágeis;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processo administrativo fiscal local</w:t>
      </w:r>
      <w:r>
        <w:t xml:space="preserve"> </w:t>
      </w:r>
      <w:r>
        <w:t xml:space="preserve">— os entes com mais de 100 mil habitantes deverão assegurar o duplo grau e rever prazos e procedimentos;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legislação local</w:t>
      </w:r>
      <w:r>
        <w:t xml:space="preserve"> </w:t>
      </w:r>
      <w:r>
        <w:t xml:space="preserve">— a adaptação deve ocorrer em dois anos, até setembro de 2028.</w:t>
      </w:r>
    </w:p>
    <w:bookmarkEnd w:id="128"/>
    <w:bookmarkStart w:id="129" w:name="a-nova-lei-de-execução-fiscal"/>
    <w:p>
      <w:pPr>
        <w:pStyle w:val="Heading2"/>
      </w:pPr>
      <w:r>
        <w:t xml:space="preserve">11.2 A nova Lei de Execução Fiscal</w:t>
      </w:r>
    </w:p>
    <w:p>
      <w:pPr>
        <w:pStyle w:val="FirstParagraph"/>
      </w:pPr>
      <w:r>
        <w:t xml:space="preserve">Tramita no Congresso projeto de nova Lei de Execução Fiscal, destinado a substituir a Lei 6.830/1980, ainda vigente. Aprovado, completará a renovação da base normativa da cobrança: CTN reformado, processo administrativo uniformizado e novo rito executivo.</w:t>
      </w:r>
    </w:p>
    <w:bookmarkEnd w:id="129"/>
    <w:bookmarkStart w:id="135" w:name="cobrança-seletiva-e-extrajudicial"/>
    <w:p>
      <w:pPr>
        <w:pStyle w:val="Heading2"/>
      </w:pPr>
      <w:r>
        <w:t xml:space="preserve">11.3 Cobrança seletiva e extrajudicial</w:t>
      </w:r>
    </w:p>
    <w:p>
      <w:pPr>
        <w:pStyle w:val="FirstParagraph"/>
      </w:pPr>
      <w:r>
        <w:t xml:space="preserve">A tendência, visível em todos os fóruns de advocacia pública, é executar menos e cobrar melhor. A execução fiscal em massa, que ocupa grande parte do acervo do Judiciário, mostrou-se pouco eficiente quando dirigida indistintamente contra devedores falecidos, empresas baixadas ou contribuintes sem identificação válida.</w:t>
      </w:r>
    </w:p>
    <w:p>
      <w:pPr>
        <w:pStyle w:val="BodyText"/>
      </w:pPr>
      <w:r>
        <w:t xml:space="preserve">A PGFN adota outra lógica desde 2017, quando passou a classificar os créditos inscritos por grau de recuperabilidade (Portaria PGFN nº 293/2017):</w:t>
      </w:r>
    </w:p>
    <w:p>
      <w:pPr>
        <w:pStyle w:val="Compact"/>
        <w:numPr>
          <w:ilvl w:val="0"/>
          <w:numId w:val="1031"/>
        </w:numPr>
      </w:pPr>
      <w:r>
        <w:t xml:space="preserve">classes</w:t>
      </w:r>
      <w:r>
        <w:t xml:space="preserve"> </w:t>
      </w:r>
      <w:r>
        <w:rPr>
          <w:b/>
          <w:bCs/>
        </w:rPr>
        <w:t xml:space="preserve">A e B</w:t>
      </w:r>
      <w:r>
        <w:t xml:space="preserve"> </w:t>
      </w:r>
      <w:r>
        <w:t xml:space="preserve">— alta e média perspectiva de recuperação;</w:t>
      </w:r>
    </w:p>
    <w:p>
      <w:pPr>
        <w:pStyle w:val="Compact"/>
        <w:numPr>
          <w:ilvl w:val="0"/>
          <w:numId w:val="1031"/>
        </w:numPr>
      </w:pPr>
      <w:r>
        <w:t xml:space="preserve">classes</w:t>
      </w:r>
      <w:r>
        <w:t xml:space="preserve"> </w:t>
      </w:r>
      <w:r>
        <w:rPr>
          <w:b/>
          <w:bCs/>
        </w:rPr>
        <w:t xml:space="preserve">C e D</w:t>
      </w:r>
      <w:r>
        <w:t xml:space="preserve"> </w:t>
      </w:r>
      <w:r>
        <w:t xml:space="preserve">— baixa perspectiva ou créditos irrecuperáveis.</w:t>
      </w:r>
    </w:p>
    <w:p>
      <w:pPr>
        <w:pStyle w:val="FirstParagraph"/>
      </w:pPr>
      <w:r>
        <w:t xml:space="preserve">Cada classe recebe estratégia própria: transação, protesto, execução fiscal, investigação patrimonial ou encaminhamento ao Ministério Público quando há indício de fraude. A classificação é automatizada, a partir de critérios objetivos. O Judiciário reforça a tendência:</w:t>
      </w:r>
    </w:p>
    <w:p>
      <w:pPr>
        <w:pStyle w:val="Compact"/>
        <w:numPr>
          <w:ilvl w:val="0"/>
          <w:numId w:val="1032"/>
        </w:numPr>
      </w:pPr>
      <w:r>
        <w:t xml:space="preserve">o STF reconheceu a legitimidade da extinção de execuções fiscais de baixo valor por falta de interesse de agir (Tema 1.184, RE 1.355.208, 2023);</w:t>
      </w:r>
    </w:p>
    <w:p>
      <w:pPr>
        <w:pStyle w:val="Compact"/>
        <w:numPr>
          <w:ilvl w:val="0"/>
          <w:numId w:val="1032"/>
        </w:numPr>
      </w:pPr>
      <w:r>
        <w:t xml:space="preserve">a Resolução CNJ nº 547/2024 passou a exigir providências prévias ao ajuizamento, como tentativa de solução administrativa e protesto do título.</w:t>
      </w:r>
    </w:p>
    <w:p>
      <w:pPr>
        <w:pStyle w:val="FirstParagraph"/>
      </w:pPr>
      <w:r>
        <w:t xml:space="preserve">Para Estados e Municípios, adotar a cobrança seletiva exige critérios de classificação, sistema informatizado e reforço de equipe. Não é tarefa que se possa fazer manualmente.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1" name="Picture"/>
                  <a:graphic>
                    <a:graphicData uri="http://schemas.openxmlformats.org/drawingml/2006/picture">
                      <pic:pic>
                        <pic:nvPicPr>
                          <pic:cNvPr descr="/home/claude/.local/quarto/share/formats/docx/warning.png" id="1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Nota — baixa de empresas e responsabilidade dos sócios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Desde a LC 147/2014, a baixa de empresas independe da regularidade fiscal (LC 123/2006, art. 9º). A baixa não impede o lançamento e a cobrança posteriores, e o pedido de baixa implica responsabilidade solidária de titulares, sócios e administradores pelos tributos do período (art. 9º, §§ 4º e 5º). As Juntas Comerciais podem, ainda, cancelar o registro de empresas que não arquivam atos há dez anos (Lei 8.934/1994, art. 60).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3" name="Picture"/>
                  <a:graphic>
                    <a:graphicData uri="http://schemas.openxmlformats.org/drawingml/2006/picture">
                      <pic:pic>
                        <pic:nvPicPr>
                          <pic:cNvPr descr="/home/claude/.local/quarto/share/formats/docx/note.png" id="1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Reflexo prático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Débitos antigos crescem pela correção, pelos juros e pela multa: um débito de ISS de duas décadas pode hoje somar valor expressivo, ainda que a base original fosse modesta. Quando a empresa está baixada há anos e o sócio faleceu, a investigação patrimonial raramente compensa. A classificação prévia evita gastar esforço onde a recuperação é improvável.</w:t>
            </w:r>
          </w:p>
          <w:p/>
        </w:tc>
      </w:tr>
    </w:tbl>
    <w:bookmarkEnd w:id="135"/>
    <w:bookmarkStart w:id="136" w:name="considerações-finais"/>
    <w:p>
      <w:pPr>
        <w:pStyle w:val="Heading2"/>
      </w:pPr>
      <w:r>
        <w:t xml:space="preserve">11.4 Considerações finais</w:t>
      </w:r>
    </w:p>
    <w:p>
      <w:pPr>
        <w:pStyle w:val="FirstParagraph"/>
      </w:pPr>
      <w:r>
        <w:t xml:space="preserve">As pressões convergem: CNJ, tribunais superiores, PGFN, Receita Federal e, agora, o CGIBS. Os entes de menor estrutura, em especial muitos Municípios, tendem a ter mais dificuldade de adaptação.</w:t>
      </w:r>
    </w:p>
    <w:p>
      <w:pPr>
        <w:pStyle w:val="BodyText"/>
      </w:pPr>
      <w:r>
        <w:t xml:space="preserve">As procuradorias fiscais estão no centro dessa transformação. Terão de cobrar o estoque de ISS e de ICMS, atuar no IBS em cooperação entre os entes, aplicar um CTN reformado e adotar cobrança seletiva — tudo em poucos anos.</w:t>
      </w:r>
    </w:p>
    <w:p>
      <w:pPr>
        <w:pStyle w:val="BodyText"/>
      </w:pPr>
      <w:r>
        <w:t xml:space="preserve">O trabalho dos servidores da advocacia pública e da administração tributária, mesmo quando parece rotineiro, sustenta parte relevante das receitas dos entes. Conhecer a reforma é condição para que continuem a cumprir esse papel.</w:t>
      </w:r>
    </w:p>
    <w:bookmarkEnd w:id="136"/>
    <w:bookmarkEnd w:id="137"/>
    <w:bookmarkStart w:id="138" w:name="sec-anexo-a"/>
    <w:p>
      <w:pPr>
        <w:pStyle w:val="Heading1"/>
      </w:pPr>
      <w:r>
        <w:t xml:space="preserve">Anexo A — Quadro comparativo: o modelo anterior e o novo modelo</w:t>
      </w:r>
    </w:p>
    <w:p>
      <w:pPr>
        <w:pStyle w:val="FirstParagraph"/>
      </w:pPr>
      <w:r>
        <w:t xml:space="preserve">O quadro resume, aspecto por aspecto, o que a reforma substitui. O cronograma ano a ano está no Capítulo 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Aspecto</w:t>
            </w:r>
          </w:p>
        </w:tc>
        <w:tc>
          <w:tcPr/>
          <w:p>
            <w:pPr>
              <w:pStyle w:val="Compact"/>
            </w:pPr>
            <w:r>
              <w:t xml:space="preserve">Modelo anterior</w:t>
            </w:r>
          </w:p>
        </w:tc>
        <w:tc>
          <w:tcPr/>
          <w:p>
            <w:pPr>
              <w:pStyle w:val="Compact"/>
            </w:pPr>
            <w:r>
              <w:t xml:space="preserve">Novo modelo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Tributos sobre o consumo</w:t>
            </w:r>
          </w:p>
        </w:tc>
        <w:tc>
          <w:tcPr/>
          <w:p>
            <w:pPr>
              <w:pStyle w:val="Compact"/>
            </w:pPr>
            <w:r>
              <w:t xml:space="preserve">IPI, PIS, Cofins, ICMS e ISS</w:t>
            </w:r>
          </w:p>
        </w:tc>
        <w:tc>
          <w:tcPr/>
          <w:p>
            <w:pPr>
              <w:pStyle w:val="Compact"/>
            </w:pPr>
            <w:r>
              <w:t xml:space="preserve">CBS e IBS, além do Imposto Seletivo, de função extrafiscal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Legislação</w:t>
            </w:r>
          </w:p>
        </w:tc>
        <w:tc>
          <w:tcPr/>
          <w:p>
            <w:pPr>
              <w:pStyle w:val="Compact"/>
            </w:pPr>
            <w:r>
              <w:t xml:space="preserve">27 leis de ICMS, cerca de 5.570 de ISS e normas federais</w:t>
            </w:r>
          </w:p>
        </w:tc>
        <w:tc>
          <w:tcPr/>
          <w:p>
            <w:pPr>
              <w:pStyle w:val="Compact"/>
            </w:pPr>
            <w:r>
              <w:t xml:space="preserve">Lei complementar nacional única; cada ente fixa apenas sua alíquota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Fato gerador</w:t>
            </w:r>
          </w:p>
        </w:tc>
        <w:tc>
          <w:tcPr/>
          <w:p>
            <w:pPr>
              <w:pStyle w:val="Compact"/>
            </w:pPr>
            <w:r>
              <w:t xml:space="preserve">Distinto para cada tributo: produto industrializado, circulação de mercadoria, serviço da lista, receita</w:t>
            </w:r>
          </w:p>
        </w:tc>
        <w:tc>
          <w:tcPr/>
          <w:p>
            <w:pPr>
              <w:pStyle w:val="Compact"/>
            </w:pPr>
            <w:r>
              <w:t xml:space="preserve">Operações onerosas com bens e serviços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Não cumulatividade</w:t>
            </w:r>
          </w:p>
        </w:tc>
        <w:tc>
          <w:tcPr/>
          <w:p>
            <w:pPr>
              <w:pStyle w:val="Compact"/>
            </w:pPr>
            <w:r>
              <w:t xml:space="preserve">Créditos restritos e regras diferentes por tributo; ISS cumulativo</w:t>
            </w:r>
          </w:p>
        </w:tc>
        <w:tc>
          <w:tcPr/>
          <w:p>
            <w:pPr>
              <w:pStyle w:val="Compact"/>
            </w:pPr>
            <w:r>
              <w:t xml:space="preserve">Crédito amplo, condicionado à extinção do débito anterior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Tributo na base de outro tributo</w:t>
            </w:r>
          </w:p>
        </w:tc>
        <w:tc>
          <w:tcPr/>
          <w:p>
            <w:pPr>
              <w:pStyle w:val="Compact"/>
            </w:pPr>
            <w:r>
              <w:t xml:space="preserve">Frequente</w:t>
            </w:r>
          </w:p>
        </w:tc>
        <w:tc>
          <w:tcPr/>
          <w:p>
            <w:pPr>
              <w:pStyle w:val="Compact"/>
            </w:pPr>
            <w:r>
              <w:t xml:space="preserve">IBS e CBS não integram a própria base nem a um do outro; o Imposto Seletivo integra a base de ambos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 de cobrança</w:t>
            </w:r>
          </w:p>
        </w:tc>
        <w:tc>
          <w:tcPr/>
          <w:p>
            <w:pPr>
              <w:pStyle w:val="Compact"/>
            </w:pPr>
            <w:r>
              <w:t xml:space="preserve">Origem, destino ou critérios mistos</w:t>
            </w:r>
          </w:p>
        </w:tc>
        <w:tc>
          <w:tcPr/>
          <w:p>
            <w:pPr>
              <w:pStyle w:val="Compact"/>
            </w:pPr>
            <w:r>
              <w:t xml:space="preserve">Destino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Benefícios fiscais</w:t>
            </w:r>
          </w:p>
        </w:tc>
        <w:tc>
          <w:tcPr/>
          <w:p>
            <w:pPr>
              <w:pStyle w:val="Compact"/>
            </w:pPr>
            <w:r>
              <w:t xml:space="preserve">Concedidos por cada ente, com guerra fiscal</w:t>
            </w:r>
          </w:p>
        </w:tc>
        <w:tc>
          <w:tcPr/>
          <w:p>
            <w:pPr>
              <w:pStyle w:val="Compact"/>
            </w:pPr>
            <w:r>
              <w:t xml:space="preserve">Vedados, salvo hipóteses previstas na Constituição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Apuração</w:t>
            </w:r>
          </w:p>
        </w:tc>
        <w:tc>
          <w:tcPr/>
          <w:p>
            <w:pPr>
              <w:pStyle w:val="Compact"/>
            </w:pPr>
            <w:r>
              <w:t xml:space="preserve">Autolançamento sujeito a homologação posterior</w:t>
            </w:r>
          </w:p>
        </w:tc>
        <w:tc>
          <w:tcPr/>
          <w:p>
            <w:pPr>
              <w:pStyle w:val="Compact"/>
            </w:pPr>
            <w:r>
              <w:t xml:space="preserve">Documentos eletrônicos, apuração assistida e</w:t>
            </w:r>
            <w:r>
              <w:t xml:space="preserve"> </w:t>
            </w:r>
            <w:r>
              <w:rPr>
                <w:i/>
                <w:iCs/>
              </w:rPr>
              <w:t xml:space="preserve">split payment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Administração</w:t>
            </w:r>
          </w:p>
        </w:tc>
        <w:tc>
          <w:tcPr/>
          <w:p>
            <w:pPr>
              <w:pStyle w:val="Compact"/>
            </w:pPr>
            <w:r>
              <w:t xml:space="preserve">Cada ente isoladamente</w:t>
            </w:r>
          </w:p>
        </w:tc>
        <w:tc>
          <w:tcPr/>
          <w:p>
            <w:pPr>
              <w:pStyle w:val="Compact"/>
            </w:pPr>
            <w:r>
              <w:t xml:space="preserve">Receita Federal (CBS) e CGIBS (IBS), com fiscalização e cobrança pelos entes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Contencioso administrativo</w:t>
            </w:r>
          </w:p>
        </w:tc>
        <w:tc>
          <w:tcPr/>
          <w:p>
            <w:pPr>
              <w:pStyle w:val="Compact"/>
            </w:pPr>
            <w:r>
              <w:t xml:space="preserve">Órgãos de julgamento de cada ente</w:t>
            </w:r>
          </w:p>
        </w:tc>
        <w:tc>
          <w:tcPr/>
          <w:p>
            <w:pPr>
              <w:pStyle w:val="Compact"/>
            </w:pPr>
            <w:r>
              <w:t xml:space="preserve">CGIBS, para o IBS; órgãos federais, para a CBS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Regressividade</w:t>
            </w:r>
          </w:p>
        </w:tc>
        <w:tc>
          <w:tcPr/>
          <w:p>
            <w:pPr>
              <w:pStyle w:val="Compact"/>
            </w:pPr>
            <w:r>
              <w:t xml:space="preserve">Sem mecanismo específico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Cashback</w:t>
            </w:r>
            <w:r>
              <w:t xml:space="preserve"> </w:t>
            </w:r>
            <w:r>
              <w:t xml:space="preserve">para famílias inscritas no CadÚnico</w:t>
            </w:r>
          </w:p>
        </w:tc>
      </w:tr>
    </w:tbl>
    <w:bookmarkEnd w:id="138"/>
    <w:bookmarkStart w:id="139" w:name="sec-anexo-b"/>
    <w:p>
      <w:pPr>
        <w:pStyle w:val="Heading1"/>
      </w:pPr>
      <w:r>
        <w:t xml:space="preserve">Anexo B — Glossário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Termo</w:t>
            </w:r>
          </w:p>
        </w:tc>
        <w:tc>
          <w:tcPr/>
          <w:p>
            <w:pPr>
              <w:pStyle w:val="Compact"/>
            </w:pPr>
            <w:r>
              <w:t xml:space="preserve">Definição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Alíquota de referência</w:t>
            </w:r>
          </w:p>
        </w:tc>
        <w:tc>
          <w:tcPr/>
          <w:p>
            <w:pPr>
              <w:pStyle w:val="Compact"/>
            </w:pPr>
            <w:r>
              <w:t xml:space="preserve">Alíquota fixada por resolução do Senado para cada esfera, aplicada quando o ente não fixar a sua; calibrada para manter a arrecadação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Apuração assistida</w:t>
            </w:r>
          </w:p>
        </w:tc>
        <w:tc>
          <w:tcPr/>
          <w:p>
            <w:pPr>
              <w:pStyle w:val="Compact"/>
            </w:pPr>
            <w:r>
              <w:t xml:space="preserve">Apuração pré-preenchida pelo CGIBS e pela Receita Federal; confirmada, ajustada ou não contestada no prazo, constitui o crédito tributário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Cashback</w:t>
            </w:r>
          </w:p>
        </w:tc>
        <w:tc>
          <w:tcPr/>
          <w:p>
            <w:pPr>
              <w:pStyle w:val="Compact"/>
            </w:pPr>
            <w:r>
              <w:t xml:space="preserve">Devolução personalizada de parte do IBS e da CBS a famílias de baixa renda inscritas no CadÚnico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CBS</w:t>
            </w:r>
          </w:p>
        </w:tc>
        <w:tc>
          <w:tcPr/>
          <w:p>
            <w:pPr>
              <w:pStyle w:val="Compact"/>
            </w:pPr>
            <w:r>
              <w:t xml:space="preserve">Contribuição Social sobre Bens e Serviços, da União; substitui PIS e Cofins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CGIBS</w:t>
            </w:r>
          </w:p>
        </w:tc>
        <w:tc>
          <w:tcPr/>
          <w:p>
            <w:pPr>
              <w:pStyle w:val="Compact"/>
            </w:pPr>
            <w:r>
              <w:t xml:space="preserve">Comitê Gestor do IBS: entidade pública sob regime especial que regulamenta, arrecada, distribui e julga administrativamente o IBS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Conap</w:t>
            </w:r>
          </w:p>
        </w:tc>
        <w:tc>
          <w:tcPr/>
          <w:p>
            <w:pPr>
              <w:pStyle w:val="Compact"/>
            </w:pPr>
            <w:r>
              <w:t xml:space="preserve">Conselho Nacional da Advocacia Pública Fiscal, que reúne procuradorias fiscais da União, dos Estados e dos Municípios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Contribuinte de direito</w:t>
            </w:r>
          </w:p>
        </w:tc>
        <w:tc>
          <w:tcPr/>
          <w:p>
            <w:pPr>
              <w:pStyle w:val="Compact"/>
            </w:pPr>
            <w:r>
              <w:t xml:space="preserve">Quem a lei obriga a apurar e recolher o tributo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Contribuinte de fato</w:t>
            </w:r>
          </w:p>
        </w:tc>
        <w:tc>
          <w:tcPr/>
          <w:p>
            <w:pPr>
              <w:pStyle w:val="Compact"/>
            </w:pPr>
            <w:r>
              <w:t xml:space="preserve">Quem suporta o ônus do tributo no preço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Crédito (não cumulatividade)</w:t>
            </w:r>
          </w:p>
        </w:tc>
        <w:tc>
          <w:tcPr/>
          <w:p>
            <w:pPr>
              <w:pStyle w:val="Compact"/>
            </w:pPr>
            <w:r>
              <w:t xml:space="preserve">Tributo pago nas aquisições que o contribuinte abate do tributo devido em suas operações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Decadência</w:t>
            </w:r>
          </w:p>
        </w:tc>
        <w:tc>
          <w:tcPr/>
          <w:p>
            <w:pPr>
              <w:pStyle w:val="Compact"/>
            </w:pPr>
            <w:r>
              <w:t xml:space="preserve">Prazo de cinco anos para a Fazenda constituir o crédito tributário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Destino (princípio do)</w:t>
            </w:r>
          </w:p>
        </w:tc>
        <w:tc>
          <w:tcPr/>
          <w:p>
            <w:pPr>
              <w:pStyle w:val="Compact"/>
            </w:pPr>
            <w:r>
              <w:t xml:space="preserve">Critério que atribui a receita do IBS ao Estado e ao Município onde ocorre o consumo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Dívida ativa</w:t>
            </w:r>
          </w:p>
        </w:tc>
        <w:tc>
          <w:tcPr/>
          <w:p>
            <w:pPr>
              <w:pStyle w:val="Compact"/>
            </w:pPr>
            <w:r>
              <w:t xml:space="preserve">Crédito público vencido e não pago, inscrito após controle de legalidade e documentado na certidão de dívida ativa (CDA)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Guerra fiscal</w:t>
            </w:r>
          </w:p>
        </w:tc>
        <w:tc>
          <w:tcPr/>
          <w:p>
            <w:pPr>
              <w:pStyle w:val="Compact"/>
            </w:pPr>
            <w:r>
              <w:t xml:space="preserve">Disputa entre entes por investimentos mediante concessão de benefícios fiscais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IBS</w:t>
            </w:r>
          </w:p>
        </w:tc>
        <w:tc>
          <w:tcPr/>
          <w:p>
            <w:pPr>
              <w:pStyle w:val="Compact"/>
            </w:pPr>
            <w:r>
              <w:t xml:space="preserve">Imposto sobre Bens e Serviços, de competência compartilhada entre Estados, DF e Municípios; substitui ICMS e ISS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Imposto Seletivo (IS)</w:t>
            </w:r>
          </w:p>
        </w:tc>
        <w:tc>
          <w:tcPr/>
          <w:p>
            <w:pPr>
              <w:pStyle w:val="Compact"/>
            </w:pPr>
            <w:r>
              <w:t xml:space="preserve">Imposto federal extrafiscal sobre bens e serviços prejudiciais à saúde ou ao meio ambiente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IVA dual</w:t>
            </w:r>
          </w:p>
        </w:tc>
        <w:tc>
          <w:tcPr/>
          <w:p>
            <w:pPr>
              <w:pStyle w:val="Compact"/>
            </w:pPr>
            <w:r>
              <w:t xml:space="preserve">Modelo com dois tributos sobre o valor agregado (CBS e IBS) incidentes sobre a mesma 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Lançamento por homologação</w:t>
            </w:r>
          </w:p>
        </w:tc>
        <w:tc>
          <w:tcPr/>
          <w:p>
            <w:pPr>
              <w:pStyle w:val="Compact"/>
            </w:pPr>
            <w:r>
              <w:t xml:space="preserve">Modalidade em que o contribuinte apura e paga, e o Fisco revisa depois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Neutralidade</w:t>
            </w:r>
          </w:p>
        </w:tc>
        <w:tc>
          <w:tcPr/>
          <w:p>
            <w:pPr>
              <w:pStyle w:val="Compact"/>
            </w:pPr>
            <w:r>
              <w:t xml:space="preserve">Princípio segundo o qual o tributo não deve distorcer decisões de consumo e de organização econômica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Prescrição</w:t>
            </w:r>
          </w:p>
        </w:tc>
        <w:tc>
          <w:tcPr/>
          <w:p>
            <w:pPr>
              <w:pStyle w:val="Compact"/>
            </w:pPr>
            <w:r>
              <w:t xml:space="preserve">Prazo de cinco anos para a Fazenda cobrar o crédito constituído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Recolhimento pelo adquirente</w:t>
            </w:r>
          </w:p>
        </w:tc>
        <w:tc>
          <w:tcPr/>
          <w:p>
            <w:pPr>
              <w:pStyle w:val="Compact"/>
            </w:pPr>
            <w:r>
              <w:t xml:space="preserve">Modalidade em que o comprador contribuinte recolhe o tributo da operação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Regimes diferenciados</w:t>
            </w:r>
          </w:p>
        </w:tc>
        <w:tc>
          <w:tcPr/>
          <w:p>
            <w:pPr>
              <w:pStyle w:val="Compact"/>
            </w:pPr>
            <w:r>
              <w:t xml:space="preserve">Reduções de alíquota de 30%, 60% ou 100% para bens e serviços definidos em lei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Regimes específicos</w:t>
            </w:r>
          </w:p>
        </w:tc>
        <w:tc>
          <w:tcPr/>
          <w:p>
            <w:pPr>
              <w:pStyle w:val="Compact"/>
            </w:pPr>
            <w:r>
              <w:t xml:space="preserve">Regras próprias para setores como combustíveis, serviços financeiros, imóveis e planos de saúde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Split payment</w:t>
            </w:r>
          </w:p>
        </w:tc>
        <w:tc>
          <w:tcPr/>
          <w:p>
            <w:pPr>
              <w:pStyle w:val="Compact"/>
            </w:pPr>
            <w:r>
              <w:t xml:space="preserve">Recolhimento do tributo na liquidação financeira do pagamento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Uso ou consumo pessoal</w:t>
            </w:r>
          </w:p>
        </w:tc>
        <w:tc>
          <w:tcPr/>
          <w:p>
            <w:pPr>
              <w:pStyle w:val="Compact"/>
            </w:pPr>
            <w:r>
              <w:t xml:space="preserve">Aquisições que não geram crédito, como joias, bebidas alcoólicas e bens fornecidos gratuitamente a sócios e empregados</w:t>
            </w:r>
          </w:p>
        </w:tc>
      </w:tr>
    </w:tbl>
    <w:bookmarkEnd w:id="139"/>
    <w:bookmarkStart w:id="145" w:name="sec-anexo-c"/>
    <w:p>
      <w:pPr>
        <w:pStyle w:val="Heading1"/>
      </w:pPr>
      <w:r>
        <w:t xml:space="preserve">Anexo C — Legislação de referência e fontes</w:t>
      </w:r>
    </w:p>
    <w:p>
      <w:pPr>
        <w:pStyle w:val="FirstParagraph"/>
      </w:pPr>
      <w:r>
        <w:rPr>
          <w:b/>
          <w:bCs/>
        </w:rPr>
        <w:t xml:space="preserve">Legislação</w:t>
      </w:r>
    </w:p>
    <w:p>
      <w:pPr>
        <w:pStyle w:val="Compact"/>
        <w:numPr>
          <w:ilvl w:val="0"/>
          <w:numId w:val="1033"/>
        </w:numPr>
      </w:pPr>
      <w:hyperlink r:id="rId140">
        <w:r>
          <w:rPr>
            <w:rStyle w:val="Hyperlink"/>
          </w:rPr>
          <w:t xml:space="preserve">Emenda Constitucional nº 132, de 20 de dezembro de 2023</w:t>
        </w:r>
      </w:hyperlink>
    </w:p>
    <w:p>
      <w:pPr>
        <w:pStyle w:val="Compact"/>
        <w:numPr>
          <w:ilvl w:val="0"/>
          <w:numId w:val="1033"/>
        </w:numPr>
      </w:pPr>
      <w:hyperlink r:id="rId141">
        <w:r>
          <w:rPr>
            <w:rStyle w:val="Hyperlink"/>
          </w:rPr>
          <w:t xml:space="preserve">Lei Complementar nº 214, de 16 de janeiro de 2025</w:t>
        </w:r>
      </w:hyperlink>
    </w:p>
    <w:p>
      <w:pPr>
        <w:pStyle w:val="Compact"/>
        <w:numPr>
          <w:ilvl w:val="0"/>
          <w:numId w:val="1033"/>
        </w:numPr>
      </w:pPr>
      <w:hyperlink r:id="rId142">
        <w:r>
          <w:rPr>
            <w:rStyle w:val="Hyperlink"/>
          </w:rPr>
          <w:t xml:space="preserve">Lei Complementar nº 227, de 13 de janeiro de 2026</w:t>
        </w:r>
      </w:hyperlink>
    </w:p>
    <w:p>
      <w:pPr>
        <w:pStyle w:val="Compact"/>
        <w:numPr>
          <w:ilvl w:val="0"/>
          <w:numId w:val="1033"/>
        </w:numPr>
      </w:pPr>
      <w:hyperlink r:id="rId143">
        <w:r>
          <w:rPr>
            <w:rStyle w:val="Hyperlink"/>
          </w:rPr>
          <w:t xml:space="preserve">Lei Complementar nº 236, de 4 de setembro de 2026</w:t>
        </w:r>
      </w:hyperlink>
    </w:p>
    <w:p>
      <w:pPr>
        <w:pStyle w:val="Compact"/>
        <w:numPr>
          <w:ilvl w:val="0"/>
          <w:numId w:val="1033"/>
        </w:numPr>
      </w:pPr>
      <w:hyperlink r:id="rId144">
        <w:r>
          <w:rPr>
            <w:rStyle w:val="Hyperlink"/>
          </w:rPr>
          <w:t xml:space="preserve">Resolução CGIBS nº 14, de 29 de julho de 2026</w:t>
        </w:r>
      </w:hyperlink>
    </w:p>
    <w:p>
      <w:pPr>
        <w:pStyle w:val="Compact"/>
        <w:numPr>
          <w:ilvl w:val="0"/>
          <w:numId w:val="1033"/>
        </w:numPr>
      </w:pPr>
      <w:r>
        <w:t xml:space="preserve">Código Tributário Nacional (Lei 5.172/1966); LC 87/1996; LC 116/2003; LC 123/2006; LC 160/2017; Lei 6.830/1980; Lei 8.934/1994.</w:t>
      </w:r>
    </w:p>
    <w:p>
      <w:pPr>
        <w:pStyle w:val="FirstParagraph"/>
      </w:pPr>
      <w:r>
        <w:rPr>
          <w:b/>
          <w:bCs/>
        </w:rPr>
        <w:t xml:space="preserve">Dados, estudos e notícias consultados</w:t>
      </w:r>
    </w:p>
    <w:p>
      <w:pPr>
        <w:pStyle w:val="Compact"/>
        <w:numPr>
          <w:ilvl w:val="0"/>
          <w:numId w:val="1034"/>
        </w:numPr>
      </w:pPr>
      <w:r>
        <w:t xml:space="preserve">Tesouro Nacional, carga tributária bruta de 2024 —</w:t>
      </w:r>
      <w:r>
        <w:t xml:space="preserve"> </w:t>
      </w:r>
      <w:hyperlink r:id="rId11">
        <w:r>
          <w:rPr>
            <w:rStyle w:val="Hyperlink"/>
          </w:rPr>
          <w:t xml:space="preserve">Poder360, 28 mar. 2025</w:t>
        </w:r>
      </w:hyperlink>
    </w:p>
    <w:p>
      <w:pPr>
        <w:pStyle w:val="Compact"/>
        <w:numPr>
          <w:ilvl w:val="0"/>
          <w:numId w:val="1034"/>
        </w:numPr>
      </w:pPr>
      <w:r>
        <w:t xml:space="preserve">IBGE, Censo 2022 —</w:t>
      </w:r>
      <w:r>
        <w:t xml:space="preserve"> </w:t>
      </w:r>
      <w:hyperlink r:id="rId22">
        <w:r>
          <w:rPr>
            <w:rStyle w:val="Hyperlink"/>
          </w:rPr>
          <w:t xml:space="preserve">O Povo, 28 jun. 2023</w:t>
        </w:r>
      </w:hyperlink>
    </w:p>
    <w:p>
      <w:pPr>
        <w:pStyle w:val="Compact"/>
        <w:numPr>
          <w:ilvl w:val="0"/>
          <w:numId w:val="1034"/>
        </w:numPr>
      </w:pPr>
      <w:r>
        <w:t xml:space="preserve">Ipea, carga tributária por faixa de renda (2008) —</w:t>
      </w:r>
      <w:r>
        <w:t xml:space="preserve"> </w:t>
      </w:r>
      <w:hyperlink r:id="rId50">
        <w:r>
          <w:rPr>
            <w:rStyle w:val="Hyperlink"/>
          </w:rPr>
          <w:t xml:space="preserve">Jornal do Brasil, 30 jun. 2009</w:t>
        </w:r>
      </w:hyperlink>
    </w:p>
    <w:p>
      <w:pPr>
        <w:pStyle w:val="Compact"/>
        <w:numPr>
          <w:ilvl w:val="0"/>
          <w:numId w:val="1034"/>
        </w:numPr>
      </w:pPr>
      <w:r>
        <w:t xml:space="preserve">Deloitte para a Comissão Europeia,</w:t>
      </w:r>
      <w:r>
        <w:t xml:space="preserve"> </w:t>
      </w:r>
      <w:r>
        <w:rPr>
          <w:i/>
          <w:iCs/>
        </w:rPr>
        <w:t xml:space="preserve">Analysis of the impact of the split payment mechanism as an alternative VAT collection method</w:t>
      </w:r>
      <w:r>
        <w:t xml:space="preserve"> </w:t>
      </w:r>
      <w:r>
        <w:t xml:space="preserve">—</w:t>
      </w:r>
      <w:r>
        <w:t xml:space="preserve"> </w:t>
      </w:r>
      <w:hyperlink r:id="rId76">
        <w:r>
          <w:rPr>
            <w:rStyle w:val="Hyperlink"/>
          </w:rPr>
          <w:t xml:space="preserve">sumário executivo, dez. 2017</w:t>
        </w:r>
      </w:hyperlink>
    </w:p>
    <w:p>
      <w:pPr>
        <w:pStyle w:val="Compact"/>
        <w:numPr>
          <w:ilvl w:val="0"/>
          <w:numId w:val="1034"/>
        </w:numPr>
      </w:pPr>
      <w:r>
        <w:t xml:space="preserve">Adiamento do</w:t>
      </w:r>
      <w:r>
        <w:t xml:space="preserve"> </w:t>
      </w:r>
      <w:r>
        <w:rPr>
          <w:i/>
          <w:iCs/>
        </w:rPr>
        <w:t xml:space="preserve">split payment</w:t>
      </w:r>
      <w:r>
        <w:t xml:space="preserve"> </w:t>
      </w:r>
      <w:r>
        <w:t xml:space="preserve">—</w:t>
      </w:r>
      <w:r>
        <w:t xml:space="preserve"> </w:t>
      </w:r>
      <w:hyperlink r:id="rId75">
        <w:r>
          <w:rPr>
            <w:rStyle w:val="Hyperlink"/>
          </w:rPr>
          <w:t xml:space="preserve">Convergência Digital, 13 ago. 2026</w:t>
        </w:r>
      </w:hyperlink>
    </w:p>
    <w:p>
      <w:pPr>
        <w:pStyle w:val="Compact"/>
        <w:numPr>
          <w:ilvl w:val="0"/>
          <w:numId w:val="1034"/>
        </w:numPr>
      </w:pPr>
      <w:r>
        <w:t xml:space="preserve">Estimativa de alíquota de 27,91% —</w:t>
      </w:r>
      <w:r>
        <w:t xml:space="preserve"> </w:t>
      </w:r>
      <w:hyperlink r:id="rId85">
        <w:r>
          <w:rPr>
            <w:rStyle w:val="Hyperlink"/>
          </w:rPr>
          <w:t xml:space="preserve">Contábeis, 6 ago. 2026</w:t>
        </w:r>
      </w:hyperlink>
    </w:p>
    <w:p>
      <w:pPr>
        <w:pStyle w:val="Compact"/>
        <w:numPr>
          <w:ilvl w:val="0"/>
          <w:numId w:val="1034"/>
        </w:numPr>
      </w:pPr>
      <w:r>
        <w:t xml:space="preserve">Caso das sobremesas geladas no CARF —</w:t>
      </w:r>
      <w:r>
        <w:t xml:space="preserve"> </w:t>
      </w:r>
      <w:hyperlink r:id="rId42">
        <w:r>
          <w:rPr>
            <w:rStyle w:val="Hyperlink"/>
          </w:rPr>
          <w:t xml:space="preserve">Contábeis, 20 jan. 2026</w:t>
        </w:r>
      </w:hyperlink>
    </w:p>
    <w:p>
      <w:pPr>
        <w:pStyle w:val="Compact"/>
        <w:numPr>
          <w:ilvl w:val="0"/>
          <w:numId w:val="1034"/>
        </w:numPr>
      </w:pPr>
      <w:r>
        <w:t xml:space="preserve">LC 236/2026 —</w:t>
      </w:r>
      <w:r>
        <w:t xml:space="preserve"> </w:t>
      </w:r>
      <w:hyperlink r:id="rId126">
        <w:r>
          <w:rPr>
            <w:rStyle w:val="Hyperlink"/>
          </w:rPr>
          <w:t xml:space="preserve">Tributário nos Bastidores, 29 set. 2026</w:t>
        </w:r>
      </w:hyperlink>
      <w:r>
        <w:t xml:space="preserve"> </w:t>
      </w:r>
      <w:r>
        <w:t xml:space="preserve">e</w:t>
      </w:r>
      <w:r>
        <w:t xml:space="preserve"> </w:t>
      </w:r>
      <w:hyperlink r:id="rId127">
        <w:r>
          <w:rPr>
            <w:rStyle w:val="Hyperlink"/>
          </w:rPr>
          <w:t xml:space="preserve">KLA Advogados, 10 set. 2026</w:t>
        </w:r>
      </w:hyperlink>
    </w:p>
    <w:p>
      <w:pPr>
        <w:pStyle w:val="Compact"/>
        <w:numPr>
          <w:ilvl w:val="0"/>
          <w:numId w:val="1034"/>
        </w:numPr>
      </w:pPr>
      <w:r>
        <w:t xml:space="preserve">Criação do Conap —</w:t>
      </w:r>
      <w:r>
        <w:t xml:space="preserve"> </w:t>
      </w:r>
      <w:hyperlink r:id="rId13">
        <w:r>
          <w:rPr>
            <w:rStyle w:val="Hyperlink"/>
          </w:rPr>
          <w:t xml:space="preserve">Portal Cont News, 5 set. 2025</w:t>
        </w:r>
      </w:hyperlink>
    </w:p>
    <w:p>
      <w:pPr>
        <w:pStyle w:val="Compact"/>
        <w:numPr>
          <w:ilvl w:val="0"/>
          <w:numId w:val="1034"/>
        </w:numPr>
      </w:pPr>
      <w:r>
        <w:t xml:space="preserve">Liminar sobre a base de cálculo do ICMS —</w:t>
      </w:r>
      <w:r>
        <w:t xml:space="preserve"> </w:t>
      </w:r>
      <w:hyperlink r:id="rId122">
        <w:r>
          <w:rPr>
            <w:rStyle w:val="Hyperlink"/>
          </w:rPr>
          <w:t xml:space="preserve">Tributário nos Bastidores, 15 set. 2026</w:t>
        </w:r>
      </w:hyperlink>
    </w:p>
    <w:p>
      <w:pPr>
        <w:pStyle w:val="Compact"/>
        <w:numPr>
          <w:ilvl w:val="0"/>
          <w:numId w:val="1034"/>
        </w:numPr>
      </w:pPr>
      <w:r>
        <w:t xml:space="preserve">Banco Mundial,</w:t>
      </w:r>
      <w:r>
        <w:t xml:space="preserve"> </w:t>
      </w:r>
      <w:r>
        <w:rPr>
          <w:i/>
          <w:iCs/>
        </w:rPr>
        <w:t xml:space="preserve">Doing Business 2020</w:t>
      </w:r>
      <w:r>
        <w:t xml:space="preserve">, e Insper,</w:t>
      </w:r>
      <w:r>
        <w:t xml:space="preserve"> </w:t>
      </w:r>
      <w:r>
        <w:rPr>
          <w:i/>
          <w:iCs/>
        </w:rPr>
        <w:t xml:space="preserve">Contencioso Tributário no Brasil</w:t>
      </w:r>
      <w:r>
        <w:t xml:space="preserve"> </w:t>
      </w:r>
      <w:r>
        <w:t xml:space="preserve">(2020).</w:t>
      </w:r>
    </w:p>
    <w:bookmarkEnd w:id="1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pt-B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image" Id="rId130" Target="media/rId130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53" Target="media/rId53.png" /><Relationship Type="http://schemas.openxmlformats.org/officeDocument/2006/relationships/image" Id="rId65" Target="media/rId65.png" /><Relationship Type="http://schemas.openxmlformats.org/officeDocument/2006/relationships/image" Id="rId72" Target="media/rId72.png" /><Relationship Type="http://schemas.openxmlformats.org/officeDocument/2006/relationships/image" Id="rId95" Target="media/rId95.png" /><Relationship Type="http://schemas.openxmlformats.org/officeDocument/2006/relationships/image" Id="rId102" Target="media/rId102.png" /><Relationship Type="http://schemas.openxmlformats.org/officeDocument/2006/relationships/image" Id="rId111" Target="media/rId111.png" /><Relationship Type="http://schemas.openxmlformats.org/officeDocument/2006/relationships/hyperlink" Id="rId75" Target="https://convergenciadigital.com.br/governo/receita-atende-instituicoes-financeiras-e-split-payment-fica-fora-do-inicio-da-reforma-tributaria/" TargetMode="External" /><Relationship Type="http://schemas.openxmlformats.org/officeDocument/2006/relationships/hyperlink" Id="rId76" Target="https://taxation-customs.ec.europa.eu/system/files/2018-01/split_payment_report_execsummary_2017_en.pdf" TargetMode="External" /><Relationship Type="http://schemas.openxmlformats.org/officeDocument/2006/relationships/hyperlink" Id="rId126" Target="https://tributarionosbastidores.com.br/2026/09/ctn-alterado-novo-processo-administrativo-fiscal-precedentes-vinculantes-e-nulidades/" TargetMode="External" /><Relationship Type="http://schemas.openxmlformats.org/officeDocument/2006/relationships/hyperlink" Id="rId122" Target="https://tributarionosbastidores.com.br/2026/09/icms-liminar-afasta-a-inclusao-do-ibs-e-da-cbs-na-base-do-icms/" TargetMode="External" /><Relationship Type="http://schemas.openxmlformats.org/officeDocument/2006/relationships/hyperlink" Id="rId144" Target="https://www.cgibs.gov.br/upload/arquivos/202607/31144942-resoluc-ao-cgibs-n-14-de-29-de-julho-de-2026-proposta-percentual-ibs-cgibs-2027.pdf" TargetMode="External" /><Relationship Type="http://schemas.openxmlformats.org/officeDocument/2006/relationships/hyperlink" Id="rId42" Target="https://www.contabeis.com.br/noticias/74731/sorvete-ou-bebida-lactea-entenda-disputa-milionaria-do-mcdonalds-com-o-fisco/" TargetMode="External" /><Relationship Type="http://schemas.openxmlformats.org/officeDocument/2006/relationships/hyperlink" Id="rId85" Target="https://www.contabeis.com.br/noticias/78568/cgibs-estima-aliquota-de-referencia-de-27-91-para-ibs-e-cbs/" TargetMode="External" /><Relationship Type="http://schemas.openxmlformats.org/officeDocument/2006/relationships/hyperlink" Id="rId142" Target="https://www.in.gov.br/en/web/dou/-/lei-complementar-n-227-de-13-de-janeiro-de-2026-681157850" TargetMode="External" /><Relationship Type="http://schemas.openxmlformats.org/officeDocument/2006/relationships/hyperlink" Id="rId50" Target="https://www.jb.com.br/economia/noticias/2009/06/30/pobres-trabalham-91-dias-a-mais-que-ricos-para-pagar-impostos.html" TargetMode="External" /><Relationship Type="http://schemas.openxmlformats.org/officeDocument/2006/relationships/hyperlink" Id="rId127" Target="https://www.klalaw.com.br/lei-complementar-236-2026-altera-penalidades-e-prazos-no-ctn/" TargetMode="External" /><Relationship Type="http://schemas.openxmlformats.org/officeDocument/2006/relationships/hyperlink" Id="rId22" Target="https://www.opovo.com.br/noticias/brasil/2023/06/28/censo-2022-grandes-municipios-vivem-movimento-inedito-de-perda-de-populacao-para-entorno.html" TargetMode="External" /><Relationship Type="http://schemas.openxmlformats.org/officeDocument/2006/relationships/hyperlink" Id="rId140" Target="https://www.planalto.gov.br/ccivil_03/constituicao/emendas/emc/emc132.htm" TargetMode="External" /><Relationship Type="http://schemas.openxmlformats.org/officeDocument/2006/relationships/hyperlink" Id="rId141" Target="https://www.planalto.gov.br/ccivil_03/leis/lcp/lcp214.htm" TargetMode="External" /><Relationship Type="http://schemas.openxmlformats.org/officeDocument/2006/relationships/hyperlink" Id="rId143" Target="https://www.planalto.gov.br/ccivil_03/leis/lcp/lcp236.htm" TargetMode="External" /><Relationship Type="http://schemas.openxmlformats.org/officeDocument/2006/relationships/hyperlink" Id="rId11" Target="https://www.poder360.com.br/poder-economia/previa-da-carga-tributaria-sobe-para-3232-do-pib-em-2024/" TargetMode="External" /><Relationship Type="http://schemas.openxmlformats.org/officeDocument/2006/relationships/hyperlink" Id="rId13" Target="https://www.portalcontnews.com.br/?p=3359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5" Target="https://convergenciadigital.com.br/governo/receita-atende-instituicoes-financeiras-e-split-payment-fica-fora-do-inicio-da-reforma-tributaria/" TargetMode="External" /><Relationship Type="http://schemas.openxmlformats.org/officeDocument/2006/relationships/hyperlink" Id="rId76" Target="https://taxation-customs.ec.europa.eu/system/files/2018-01/split_payment_report_execsummary_2017_en.pdf" TargetMode="External" /><Relationship Type="http://schemas.openxmlformats.org/officeDocument/2006/relationships/hyperlink" Id="rId126" Target="https://tributarionosbastidores.com.br/2026/09/ctn-alterado-novo-processo-administrativo-fiscal-precedentes-vinculantes-e-nulidades/" TargetMode="External" /><Relationship Type="http://schemas.openxmlformats.org/officeDocument/2006/relationships/hyperlink" Id="rId122" Target="https://tributarionosbastidores.com.br/2026/09/icms-liminar-afasta-a-inclusao-do-ibs-e-da-cbs-na-base-do-icms/" TargetMode="External" /><Relationship Type="http://schemas.openxmlformats.org/officeDocument/2006/relationships/hyperlink" Id="rId144" Target="https://www.cgibs.gov.br/upload/arquivos/202607/31144942-resoluc-ao-cgibs-n-14-de-29-de-julho-de-2026-proposta-percentual-ibs-cgibs-2027.pdf" TargetMode="External" /><Relationship Type="http://schemas.openxmlformats.org/officeDocument/2006/relationships/hyperlink" Id="rId42" Target="https://www.contabeis.com.br/noticias/74731/sorvete-ou-bebida-lactea-entenda-disputa-milionaria-do-mcdonalds-com-o-fisco/" TargetMode="External" /><Relationship Type="http://schemas.openxmlformats.org/officeDocument/2006/relationships/hyperlink" Id="rId85" Target="https://www.contabeis.com.br/noticias/78568/cgibs-estima-aliquota-de-referencia-de-27-91-para-ibs-e-cbs/" TargetMode="External" /><Relationship Type="http://schemas.openxmlformats.org/officeDocument/2006/relationships/hyperlink" Id="rId142" Target="https://www.in.gov.br/en/web/dou/-/lei-complementar-n-227-de-13-de-janeiro-de-2026-681157850" TargetMode="External" /><Relationship Type="http://schemas.openxmlformats.org/officeDocument/2006/relationships/hyperlink" Id="rId50" Target="https://www.jb.com.br/economia/noticias/2009/06/30/pobres-trabalham-91-dias-a-mais-que-ricos-para-pagar-impostos.html" TargetMode="External" /><Relationship Type="http://schemas.openxmlformats.org/officeDocument/2006/relationships/hyperlink" Id="rId127" Target="https://www.klalaw.com.br/lei-complementar-236-2026-altera-penalidades-e-prazos-no-ctn/" TargetMode="External" /><Relationship Type="http://schemas.openxmlformats.org/officeDocument/2006/relationships/hyperlink" Id="rId22" Target="https://www.opovo.com.br/noticias/brasil/2023/06/28/censo-2022-grandes-municipios-vivem-movimento-inedito-de-perda-de-populacao-para-entorno.html" TargetMode="External" /><Relationship Type="http://schemas.openxmlformats.org/officeDocument/2006/relationships/hyperlink" Id="rId140" Target="https://www.planalto.gov.br/ccivil_03/constituicao/emendas/emc/emc132.htm" TargetMode="External" /><Relationship Type="http://schemas.openxmlformats.org/officeDocument/2006/relationships/hyperlink" Id="rId141" Target="https://www.planalto.gov.br/ccivil_03/leis/lcp/lcp214.htm" TargetMode="External" /><Relationship Type="http://schemas.openxmlformats.org/officeDocument/2006/relationships/hyperlink" Id="rId143" Target="https://www.planalto.gov.br/ccivil_03/leis/lcp/lcp236.htm" TargetMode="External" /><Relationship Type="http://schemas.openxmlformats.org/officeDocument/2006/relationships/hyperlink" Id="rId11" Target="https://www.poder360.com.br/poder-economia/previa-da-carga-tributaria-sobe-para-3232-do-pib-em-2024/" TargetMode="External" /><Relationship Type="http://schemas.openxmlformats.org/officeDocument/2006/relationships/hyperlink" Id="rId13" Target="https://www.portalcontnews.com.br/?p=3359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Explicando a Reforma Tributária</dc:title>
  <dc:creator>Érico Germano Hack</dc:creator>
  <dc:description>Manual didático sobre a reforma tributária do consumo: IVA dual (CBS e IBS), Imposto Seletivo, split payment, Comitê Gestor do IBS e transição de 2026 a 2033.</dc:description>
  <dc:language>pt-BR</dc:language>
  <cp:keywords/>
  <dcterms:created xsi:type="dcterms:W3CDTF">2026-10-30T09:10:25Z</dcterms:created>
  <dcterms:modified xsi:type="dcterms:W3CDTF">2026-10-30T09:10:25Z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ook">
    <vt:lpwstr/>
  </property>
  <property fmtid="{D5CDD505-2E9C-101B-9397-08002B2CF9AE}" pid="5" name="by-author">
    <vt:lpwstr/>
  </property>
  <property fmtid="{D5CDD505-2E9C-101B-9397-08002B2CF9AE}" pid="6" name="crossref">
    <vt:lpwstr/>
  </property>
  <property fmtid="{D5CDD505-2E9C-101B-9397-08002B2CF9AE}" pid="7" name="date">
    <vt:lpwstr>2026-10-08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subtitle">
    <vt:lpwstr>Manual didático sobre a nova tributação do consumo — EC 132/2023, LC 214/2025 e LC 227/2026</vt:lpwstr>
  </property>
  <property fmtid="{D5CDD505-2E9C-101B-9397-08002B2CF9AE}" pid="13" name="template-partials">
    <vt:lpwstr/>
  </property>
  <property fmtid="{D5CDD505-2E9C-101B-9397-08002B2CF9AE}" pid="14" name="toc-title">
    <vt:lpwstr>Índice</vt:lpwstr>
  </property>
</Properties>
</file>